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58FE" w14:textId="77777777" w:rsidR="00B71B7C" w:rsidRDefault="00B71B7C" w:rsidP="00D51C06">
      <w:pPr>
        <w:pBdr>
          <w:bottom w:val="single" w:sz="4" w:space="1" w:color="auto"/>
        </w:pBdr>
        <w:ind w:left="-5"/>
        <w:jc w:val="center"/>
        <w:rPr>
          <w:rFonts w:ascii="Trebuchet MS" w:hAnsi="Trebuchet MS"/>
          <w:b/>
          <w:bCs/>
          <w:sz w:val="32"/>
          <w:szCs w:val="32"/>
          <w:lang w:bidi="en-US"/>
        </w:rPr>
      </w:pPr>
    </w:p>
    <w:p w14:paraId="3D0AA001" w14:textId="635E4B9B" w:rsidR="005D11A7" w:rsidRDefault="00876842" w:rsidP="00D51C06">
      <w:pPr>
        <w:pBdr>
          <w:bottom w:val="single" w:sz="4" w:space="1" w:color="auto"/>
        </w:pBdr>
        <w:ind w:left="-5"/>
        <w:jc w:val="center"/>
        <w:rPr>
          <w:rFonts w:ascii="Trebuchet MS" w:hAnsi="Trebuchet MS"/>
          <w:b/>
          <w:bCs/>
          <w:sz w:val="32"/>
          <w:szCs w:val="32"/>
          <w:lang w:bidi="en-US"/>
        </w:rPr>
      </w:pPr>
      <w:r>
        <w:rPr>
          <w:rFonts w:ascii="Trebuchet MS" w:hAnsi="Trebuchet MS"/>
          <w:b/>
          <w:bCs/>
          <w:sz w:val="32"/>
          <w:szCs w:val="32"/>
          <w:lang w:bidi="en-US"/>
        </w:rPr>
        <w:t xml:space="preserve">Guidelines for </w:t>
      </w:r>
    </w:p>
    <w:p w14:paraId="1AA42FBC" w14:textId="58046E5C" w:rsidR="00876842" w:rsidRDefault="00D51C06" w:rsidP="00D51C06">
      <w:pPr>
        <w:pBdr>
          <w:bottom w:val="single" w:sz="4" w:space="1" w:color="auto"/>
        </w:pBdr>
        <w:ind w:left="-5"/>
        <w:jc w:val="center"/>
        <w:rPr>
          <w:rFonts w:ascii="Trebuchet MS" w:hAnsi="Trebuchet MS"/>
          <w:b/>
          <w:bCs/>
          <w:sz w:val="32"/>
          <w:szCs w:val="32"/>
          <w:lang w:bidi="en-US"/>
        </w:rPr>
      </w:pPr>
      <w:r w:rsidRPr="00D51C06">
        <w:rPr>
          <w:rFonts w:ascii="Trebuchet MS" w:hAnsi="Trebuchet MS"/>
          <w:b/>
          <w:bCs/>
          <w:sz w:val="32"/>
          <w:szCs w:val="32"/>
          <w:lang w:bidi="en-US"/>
        </w:rPr>
        <w:t xml:space="preserve">Developing Policies and Procedures </w:t>
      </w:r>
    </w:p>
    <w:p w14:paraId="6BC9007C" w14:textId="761EE781" w:rsidR="00D51C06" w:rsidRDefault="00D51C06" w:rsidP="00D51C06">
      <w:pPr>
        <w:pBdr>
          <w:bottom w:val="single" w:sz="4" w:space="1" w:color="auto"/>
        </w:pBdr>
        <w:ind w:left="-5"/>
        <w:jc w:val="center"/>
        <w:rPr>
          <w:rFonts w:ascii="Trebuchet MS" w:hAnsi="Trebuchet MS"/>
          <w:b/>
          <w:bCs/>
          <w:sz w:val="32"/>
          <w:szCs w:val="32"/>
          <w:lang w:bidi="en-US"/>
        </w:rPr>
      </w:pPr>
      <w:r w:rsidRPr="00D51C06">
        <w:rPr>
          <w:rFonts w:ascii="Trebuchet MS" w:hAnsi="Trebuchet MS"/>
          <w:b/>
          <w:bCs/>
          <w:sz w:val="32"/>
          <w:szCs w:val="32"/>
          <w:lang w:bidi="en-US"/>
        </w:rPr>
        <w:t xml:space="preserve">Required of NSF Grantees </w:t>
      </w:r>
    </w:p>
    <w:p w14:paraId="25F8D01E" w14:textId="77777777" w:rsidR="00D51C06" w:rsidRPr="00D51C06" w:rsidRDefault="00D51C06" w:rsidP="00D51C06">
      <w:pPr>
        <w:pBdr>
          <w:bottom w:val="single" w:sz="4" w:space="1" w:color="auto"/>
        </w:pBdr>
        <w:ind w:left="-5"/>
        <w:jc w:val="center"/>
        <w:rPr>
          <w:rFonts w:ascii="Trebuchet MS" w:hAnsi="Trebuchet MS"/>
          <w:b/>
          <w:bCs/>
          <w:sz w:val="32"/>
          <w:szCs w:val="32"/>
          <w:lang w:bidi="en-US"/>
        </w:rPr>
      </w:pPr>
    </w:p>
    <w:p w14:paraId="4015F05F" w14:textId="2A72ED6F" w:rsidR="00C113DD" w:rsidRPr="005D11A7" w:rsidRDefault="00C113DD" w:rsidP="005D79D9">
      <w:pPr>
        <w:pStyle w:val="NormalWeb"/>
        <w:shd w:val="clear" w:color="auto" w:fill="FFFFFF"/>
        <w:spacing w:before="0" w:beforeAutospacing="0" w:after="0" w:afterAutospacing="0"/>
        <w:rPr>
          <w:rFonts w:ascii="Trebuchet MS" w:hAnsi="Trebuchet MS"/>
          <w:b/>
          <w:i/>
          <w:iCs/>
          <w:color w:val="000000"/>
          <w:kern w:val="2"/>
          <w:lang w:bidi="en-US"/>
          <w14:ligatures w14:val="standardContextual"/>
        </w:rPr>
      </w:pPr>
      <w:r>
        <w:rPr>
          <w:rFonts w:ascii="inherit" w:hAnsi="inherit"/>
          <w:color w:val="242424"/>
          <w:sz w:val="22"/>
          <w:szCs w:val="22"/>
          <w:bdr w:val="none" w:sz="0" w:space="0" w:color="auto" w:frame="1"/>
        </w:rPr>
        <w:t> </w:t>
      </w:r>
    </w:p>
    <w:p w14:paraId="67764FC0" w14:textId="26DC10EF" w:rsidR="00C113DD" w:rsidRPr="00B71B7C" w:rsidRDefault="005D11A7" w:rsidP="00BB5A1A">
      <w:pPr>
        <w:spacing w:after="0" w:line="240" w:lineRule="auto"/>
        <w:ind w:left="0" w:firstLine="0"/>
        <w:rPr>
          <w:rFonts w:ascii="Trebuchet MS" w:hAnsi="Trebuchet MS"/>
          <w:b/>
          <w:i/>
          <w:iCs/>
          <w:color w:val="BF4E14" w:themeColor="accent2" w:themeShade="BF"/>
          <w:sz w:val="28"/>
          <w:szCs w:val="28"/>
          <w:lang w:bidi="en-US"/>
        </w:rPr>
      </w:pPr>
      <w:r w:rsidRPr="00B71B7C">
        <w:rPr>
          <w:rFonts w:ascii="Trebuchet MS" w:hAnsi="Trebuchet MS"/>
          <w:b/>
          <w:i/>
          <w:iCs/>
          <w:color w:val="BF4E14" w:themeColor="accent2" w:themeShade="BF"/>
          <w:sz w:val="28"/>
          <w:szCs w:val="28"/>
          <w:lang w:bidi="en-US"/>
        </w:rPr>
        <w:t xml:space="preserve">The Mentor-Connect Resource library has information regarding the difference between a policy and procedure:  </w:t>
      </w:r>
      <w:proofErr w:type="gramStart"/>
      <w:r w:rsidRPr="00B71B7C">
        <w:rPr>
          <w:rFonts w:ascii="Trebuchet MS" w:hAnsi="Trebuchet MS"/>
          <w:b/>
          <w:i/>
          <w:iCs/>
          <w:color w:val="BF4E14" w:themeColor="accent2" w:themeShade="BF"/>
          <w:sz w:val="28"/>
          <w:szCs w:val="28"/>
          <w:lang w:bidi="en-US"/>
        </w:rPr>
        <w:t>See  XXX</w:t>
      </w:r>
      <w:proofErr w:type="gramEnd"/>
    </w:p>
    <w:p w14:paraId="030B93A5" w14:textId="6A6DE063" w:rsidR="005D11A7" w:rsidRPr="005D11A7" w:rsidRDefault="00B71B7C" w:rsidP="00D51C06">
      <w:pPr>
        <w:spacing w:after="266"/>
        <w:ind w:left="-5"/>
        <w:rPr>
          <w:rFonts w:ascii="Trebuchet MS" w:hAnsi="Trebuchet MS"/>
          <w:b/>
          <w:sz w:val="32"/>
          <w:szCs w:val="32"/>
          <w:u w:val="single" w:color="000000"/>
          <w:lang w:bidi="en-US"/>
        </w:rPr>
      </w:pPr>
      <w:r>
        <w:rPr>
          <w:rFonts w:ascii="Trebuchet MS" w:hAnsi="Trebuchet MS"/>
          <w:b/>
          <w:sz w:val="32"/>
          <w:szCs w:val="32"/>
          <w:u w:val="single" w:color="000000"/>
          <w:lang w:bidi="en-US"/>
        </w:rPr>
        <w:br/>
      </w:r>
      <w:r>
        <w:rPr>
          <w:rFonts w:ascii="Trebuchet MS" w:hAnsi="Trebuchet MS"/>
          <w:b/>
          <w:sz w:val="32"/>
          <w:szCs w:val="32"/>
          <w:u w:val="single" w:color="000000"/>
          <w:lang w:bidi="en-US"/>
        </w:rPr>
        <w:br/>
      </w:r>
      <w:r w:rsidR="005D11A7" w:rsidRPr="005D11A7">
        <w:rPr>
          <w:rFonts w:ascii="Trebuchet MS" w:hAnsi="Trebuchet MS"/>
          <w:b/>
          <w:sz w:val="32"/>
          <w:szCs w:val="32"/>
          <w:u w:val="single" w:color="000000"/>
          <w:lang w:bidi="en-US"/>
        </w:rPr>
        <w:t>Policy</w:t>
      </w:r>
    </w:p>
    <w:p w14:paraId="1F00BCFE" w14:textId="5BA9255F" w:rsidR="00D51C06" w:rsidRPr="006A155F" w:rsidRDefault="00D51C06" w:rsidP="00D51C06">
      <w:pPr>
        <w:spacing w:after="266"/>
        <w:ind w:left="-5"/>
        <w:rPr>
          <w:rFonts w:ascii="Trebuchet MS" w:hAnsi="Trebuchet MS"/>
          <w:bCs/>
          <w:lang w:bidi="en-US"/>
        </w:rPr>
      </w:pPr>
      <w:r w:rsidRPr="00D51C06">
        <w:rPr>
          <w:rFonts w:ascii="Trebuchet MS" w:hAnsi="Trebuchet MS"/>
          <w:bCs/>
          <w:lang w:bidi="en-US"/>
        </w:rPr>
        <w:t xml:space="preserve">The </w:t>
      </w:r>
      <w:r w:rsidRPr="00D51C06">
        <w:rPr>
          <w:rFonts w:ascii="Trebuchet MS" w:hAnsi="Trebuchet MS"/>
          <w:b/>
          <w:u w:val="single" w:color="000000"/>
          <w:lang w:bidi="en-US"/>
        </w:rPr>
        <w:t>college policy</w:t>
      </w:r>
      <w:r w:rsidRPr="00D51C06">
        <w:rPr>
          <w:rFonts w:ascii="Trebuchet MS" w:hAnsi="Trebuchet MS"/>
          <w:bCs/>
          <w:lang w:bidi="en-US"/>
        </w:rPr>
        <w:t xml:space="preserve"> for all grant expenditures should state clearly that the college will adhere to all applicable federal and agency guidelines in the use of grant funds and in implementing grant-funded activities. </w:t>
      </w:r>
    </w:p>
    <w:p w14:paraId="28A6C4ED" w14:textId="76C3187A" w:rsidR="00FD6FBF" w:rsidRPr="005D11A7" w:rsidRDefault="006A155F" w:rsidP="005D11A7">
      <w:pPr>
        <w:spacing w:after="0"/>
        <w:ind w:left="630" w:right="810"/>
        <w:rPr>
          <w:rFonts w:ascii="Trebuchet MS" w:hAnsi="Trebuchet MS"/>
          <w:b/>
          <w:lang w:bidi="en-US"/>
        </w:rPr>
      </w:pPr>
      <w:r w:rsidRPr="005D11A7">
        <w:rPr>
          <w:rFonts w:ascii="Trebuchet MS" w:hAnsi="Trebuchet MS"/>
          <w:b/>
          <w:lang w:bidi="en-US"/>
        </w:rPr>
        <w:t>Sample</w:t>
      </w:r>
    </w:p>
    <w:p w14:paraId="24C98EE0" w14:textId="217E94F5" w:rsidR="006A155F" w:rsidRDefault="006A155F" w:rsidP="005D11A7">
      <w:pPr>
        <w:spacing w:after="266"/>
        <w:ind w:left="630" w:right="810"/>
        <w:rPr>
          <w:rFonts w:ascii="Trebuchet MS" w:hAnsi="Trebuchet MS"/>
          <w:bCs/>
          <w:lang w:bidi="en-US"/>
        </w:rPr>
      </w:pPr>
      <w:r w:rsidRPr="000742DB">
        <w:rPr>
          <w:rFonts w:ascii="Trebuchet MS" w:hAnsi="Trebuchet MS"/>
          <w:bCs/>
          <w:i/>
          <w:iCs/>
          <w:lang w:bidi="en-US"/>
        </w:rPr>
        <w:t>It is the policy of [enter name of college here] to adhere to all applicable federal and agency guidelines in the use of grant funds and in implementing grant-funded activities</w:t>
      </w:r>
      <w:r w:rsidRPr="006A155F">
        <w:rPr>
          <w:rFonts w:ascii="Trebuchet MS" w:hAnsi="Trebuchet MS"/>
          <w:bCs/>
          <w:lang w:bidi="en-US"/>
        </w:rPr>
        <w:t>.</w:t>
      </w:r>
    </w:p>
    <w:p w14:paraId="0B93F5F4" w14:textId="17E372D1" w:rsidR="005D11A7" w:rsidRPr="005D11A7" w:rsidRDefault="005D11A7" w:rsidP="005D11A7">
      <w:pPr>
        <w:spacing w:after="266"/>
        <w:ind w:left="-5"/>
        <w:rPr>
          <w:rFonts w:ascii="Trebuchet MS" w:hAnsi="Trebuchet MS"/>
          <w:b/>
          <w:sz w:val="32"/>
          <w:szCs w:val="32"/>
          <w:u w:val="single" w:color="000000"/>
          <w:lang w:bidi="en-US"/>
        </w:rPr>
      </w:pPr>
      <w:r>
        <w:rPr>
          <w:rFonts w:ascii="Trebuchet MS" w:hAnsi="Trebuchet MS"/>
          <w:b/>
          <w:sz w:val="32"/>
          <w:szCs w:val="32"/>
          <w:u w:val="single" w:color="000000"/>
          <w:lang w:bidi="en-US"/>
        </w:rPr>
        <w:t>Procedures</w:t>
      </w:r>
    </w:p>
    <w:p w14:paraId="7A5F0FAC" w14:textId="50894B00" w:rsidR="00D51C06" w:rsidRPr="00D51C06" w:rsidRDefault="00D51C06" w:rsidP="00D51C06">
      <w:pPr>
        <w:spacing w:after="266"/>
        <w:ind w:left="-5"/>
        <w:rPr>
          <w:rFonts w:ascii="Trebuchet MS" w:hAnsi="Trebuchet MS"/>
          <w:bCs/>
          <w:lang w:bidi="en-US"/>
        </w:rPr>
      </w:pPr>
      <w:r w:rsidRPr="00D51C06">
        <w:rPr>
          <w:rFonts w:ascii="Trebuchet MS" w:hAnsi="Trebuchet MS"/>
          <w:b/>
          <w:u w:val="single" w:color="000000"/>
          <w:lang w:bidi="en-US"/>
        </w:rPr>
        <w:t>Procedures</w:t>
      </w:r>
      <w:r w:rsidRPr="00D51C06">
        <w:rPr>
          <w:rFonts w:ascii="Trebuchet MS" w:hAnsi="Trebuchet MS"/>
          <w:bCs/>
          <w:lang w:bidi="en-US"/>
        </w:rPr>
        <w:t xml:space="preserve"> should be </w:t>
      </w:r>
      <w:r w:rsidR="00B71B7C" w:rsidRPr="00D51C06">
        <w:rPr>
          <w:rFonts w:ascii="Trebuchet MS" w:hAnsi="Trebuchet MS"/>
          <w:bCs/>
          <w:lang w:bidi="en-US"/>
        </w:rPr>
        <w:t>item specific</w:t>
      </w:r>
      <w:r w:rsidRPr="00D51C06">
        <w:rPr>
          <w:rFonts w:ascii="Trebuchet MS" w:hAnsi="Trebuchet MS"/>
          <w:bCs/>
          <w:lang w:bidi="en-US"/>
        </w:rPr>
        <w:t xml:space="preserve">.  </w:t>
      </w:r>
    </w:p>
    <w:p w14:paraId="2BE92A8D" w14:textId="4971E72D" w:rsidR="00D51C06" w:rsidRPr="00D51C06" w:rsidRDefault="00D51C06" w:rsidP="00D51C06">
      <w:pPr>
        <w:spacing w:after="266"/>
        <w:ind w:left="-5"/>
        <w:rPr>
          <w:rFonts w:ascii="Trebuchet MS" w:hAnsi="Trebuchet MS"/>
          <w:bCs/>
          <w:lang w:bidi="en-US"/>
        </w:rPr>
      </w:pPr>
      <w:r w:rsidRPr="00D51C06">
        <w:rPr>
          <w:rFonts w:ascii="Trebuchet MS" w:hAnsi="Trebuchet MS"/>
          <w:bCs/>
          <w:lang w:bidi="en-US"/>
        </w:rPr>
        <w:t xml:space="preserve">Step 1: </w:t>
      </w:r>
      <w:r w:rsidR="005D11A7">
        <w:rPr>
          <w:rFonts w:ascii="Trebuchet MS" w:hAnsi="Trebuchet MS"/>
          <w:bCs/>
          <w:lang w:bidi="en-US"/>
        </w:rPr>
        <w:t>U</w:t>
      </w:r>
      <w:r w:rsidRPr="00D51C06">
        <w:rPr>
          <w:rFonts w:ascii="Trebuchet MS" w:hAnsi="Trebuchet MS"/>
          <w:bCs/>
          <w:lang w:bidi="en-US"/>
        </w:rPr>
        <w:t>nderstand what NSF requires (see excerpt below from PAPPG 202</w:t>
      </w:r>
      <w:r w:rsidR="00A149CF" w:rsidRPr="006A155F">
        <w:rPr>
          <w:rFonts w:ascii="Trebuchet MS" w:hAnsi="Trebuchet MS"/>
          <w:bCs/>
          <w:lang w:bidi="en-US"/>
        </w:rPr>
        <w:t>4</w:t>
      </w:r>
      <w:r w:rsidR="005D11A7">
        <w:rPr>
          <w:rFonts w:ascii="Trebuchet MS" w:hAnsi="Trebuchet MS"/>
          <w:bCs/>
          <w:lang w:bidi="en-US"/>
        </w:rPr>
        <w:t>-1</w:t>
      </w:r>
      <w:r w:rsidRPr="00D51C06">
        <w:rPr>
          <w:rFonts w:ascii="Trebuchet MS" w:hAnsi="Trebuchet MS"/>
          <w:bCs/>
          <w:lang w:bidi="en-US"/>
        </w:rPr>
        <w:t xml:space="preserve"> that addresses Participant Support). </w:t>
      </w:r>
    </w:p>
    <w:p w14:paraId="2B1240CF" w14:textId="72EFAECC" w:rsidR="00D51C06" w:rsidRPr="00D51C06" w:rsidRDefault="00D51C06" w:rsidP="00D51C06">
      <w:pPr>
        <w:spacing w:after="266"/>
        <w:ind w:left="-5"/>
        <w:rPr>
          <w:rFonts w:ascii="Trebuchet MS" w:hAnsi="Trebuchet MS"/>
          <w:bCs/>
          <w:lang w:bidi="en-US"/>
        </w:rPr>
      </w:pPr>
      <w:r w:rsidRPr="00D51C06">
        <w:rPr>
          <w:rFonts w:ascii="Trebuchet MS" w:hAnsi="Trebuchet MS"/>
          <w:bCs/>
          <w:lang w:bidi="en-US"/>
        </w:rPr>
        <w:t xml:space="preserve">Step 2: </w:t>
      </w:r>
      <w:r w:rsidR="005D11A7">
        <w:rPr>
          <w:rFonts w:ascii="Trebuchet MS" w:hAnsi="Trebuchet MS"/>
          <w:bCs/>
          <w:lang w:bidi="en-US"/>
        </w:rPr>
        <w:t>D</w:t>
      </w:r>
      <w:r w:rsidRPr="00D51C06">
        <w:rPr>
          <w:rFonts w:ascii="Trebuchet MS" w:hAnsi="Trebuchet MS"/>
          <w:bCs/>
          <w:lang w:bidi="en-US"/>
        </w:rPr>
        <w:t xml:space="preserve">evelop a college procedure for the expense item/budget category that conforms to PAPPG specifications for the item. Adhere as closely as possible to definitions provided and explicit requirements.  </w:t>
      </w:r>
    </w:p>
    <w:p w14:paraId="764D1A04" w14:textId="2BB039E3" w:rsidR="00B71B7C" w:rsidRDefault="00D51C06" w:rsidP="00D51C06">
      <w:pPr>
        <w:spacing w:after="266"/>
        <w:ind w:left="-5"/>
        <w:rPr>
          <w:rFonts w:ascii="Trebuchet MS" w:hAnsi="Trebuchet MS"/>
          <w:bCs/>
          <w:lang w:bidi="en-US"/>
        </w:rPr>
      </w:pPr>
      <w:r w:rsidRPr="00D51C06">
        <w:rPr>
          <w:rFonts w:ascii="Trebuchet MS" w:hAnsi="Trebuchet MS"/>
          <w:bCs/>
          <w:lang w:bidi="en-US"/>
        </w:rPr>
        <w:t xml:space="preserve">Step 3: </w:t>
      </w:r>
      <w:r w:rsidR="005D11A7">
        <w:rPr>
          <w:rFonts w:ascii="Trebuchet MS" w:hAnsi="Trebuchet MS"/>
          <w:bCs/>
          <w:lang w:bidi="en-US"/>
        </w:rPr>
        <w:t>E</w:t>
      </w:r>
      <w:r w:rsidRPr="00D51C06">
        <w:rPr>
          <w:rFonts w:ascii="Trebuchet MS" w:hAnsi="Trebuchet MS"/>
          <w:bCs/>
          <w:lang w:bidi="en-US"/>
        </w:rPr>
        <w:t xml:space="preserve">nsure that the college follows the policy and procedures that are established by the institutions for management of grant funds. </w:t>
      </w:r>
      <w:r w:rsidR="00B71B7C">
        <w:rPr>
          <w:rFonts w:ascii="Trebuchet MS" w:hAnsi="Trebuchet MS"/>
          <w:bCs/>
          <w:lang w:bidi="en-US"/>
        </w:rPr>
        <w:br/>
      </w:r>
      <w:r w:rsidR="00B71B7C">
        <w:rPr>
          <w:rFonts w:ascii="Trebuchet MS" w:hAnsi="Trebuchet MS"/>
          <w:bCs/>
          <w:lang w:bidi="en-US"/>
        </w:rPr>
        <w:br/>
      </w:r>
    </w:p>
    <w:p w14:paraId="22A99302" w14:textId="77777777" w:rsidR="00B71B7C" w:rsidRDefault="00B71B7C">
      <w:pPr>
        <w:spacing w:after="160" w:line="278" w:lineRule="auto"/>
        <w:ind w:left="0" w:firstLine="0"/>
        <w:rPr>
          <w:rFonts w:ascii="Trebuchet MS" w:hAnsi="Trebuchet MS"/>
          <w:bCs/>
          <w:lang w:bidi="en-US"/>
        </w:rPr>
      </w:pPr>
      <w:r>
        <w:rPr>
          <w:rFonts w:ascii="Trebuchet MS" w:hAnsi="Trebuchet MS"/>
          <w:bCs/>
          <w:lang w:bidi="en-US"/>
        </w:rPr>
        <w:br w:type="page"/>
      </w:r>
    </w:p>
    <w:p w14:paraId="06EBFCF9" w14:textId="40CA70A4" w:rsidR="00D51C06" w:rsidRPr="005D11A7" w:rsidRDefault="00D51C06" w:rsidP="005D11A7">
      <w:pPr>
        <w:pBdr>
          <w:top w:val="single" w:sz="4" w:space="1" w:color="auto"/>
        </w:pBdr>
        <w:spacing w:after="256" w:line="259" w:lineRule="auto"/>
        <w:ind w:left="2" w:firstLine="0"/>
        <w:jc w:val="center"/>
        <w:rPr>
          <w:rFonts w:ascii="Trebuchet MS" w:hAnsi="Trebuchet MS"/>
          <w:bCs/>
          <w:sz w:val="28"/>
          <w:szCs w:val="28"/>
          <w:lang w:bidi="en-US"/>
        </w:rPr>
      </w:pPr>
      <w:r w:rsidRPr="005D11A7">
        <w:rPr>
          <w:rFonts w:ascii="Trebuchet MS" w:hAnsi="Trebuchet MS"/>
          <w:bCs/>
          <w:sz w:val="28"/>
          <w:szCs w:val="28"/>
          <w:lang w:bidi="en-US"/>
        </w:rPr>
        <w:lastRenderedPageBreak/>
        <w:t xml:space="preserve">How </w:t>
      </w:r>
      <w:r w:rsidR="00B71B7C">
        <w:rPr>
          <w:rFonts w:ascii="Trebuchet MS" w:hAnsi="Trebuchet MS"/>
          <w:bCs/>
          <w:sz w:val="28"/>
          <w:szCs w:val="28"/>
          <w:lang w:bidi="en-US"/>
        </w:rPr>
        <w:t>t</w:t>
      </w:r>
      <w:r w:rsidR="00B71B7C" w:rsidRPr="005D11A7">
        <w:rPr>
          <w:rFonts w:ascii="Trebuchet MS" w:hAnsi="Trebuchet MS"/>
          <w:bCs/>
          <w:sz w:val="28"/>
          <w:szCs w:val="28"/>
          <w:lang w:bidi="en-US"/>
        </w:rPr>
        <w:t xml:space="preserve">o Develop </w:t>
      </w:r>
      <w:r w:rsidR="00B71B7C">
        <w:rPr>
          <w:rFonts w:ascii="Trebuchet MS" w:hAnsi="Trebuchet MS"/>
          <w:bCs/>
          <w:sz w:val="28"/>
          <w:szCs w:val="28"/>
          <w:lang w:bidi="en-US"/>
        </w:rPr>
        <w:t>a</w:t>
      </w:r>
      <w:r w:rsidR="00B71B7C" w:rsidRPr="005D11A7">
        <w:rPr>
          <w:rFonts w:ascii="Trebuchet MS" w:hAnsi="Trebuchet MS"/>
          <w:bCs/>
          <w:sz w:val="28"/>
          <w:szCs w:val="28"/>
          <w:lang w:bidi="en-US"/>
        </w:rPr>
        <w:t xml:space="preserve"> Procedure </w:t>
      </w:r>
    </w:p>
    <w:p w14:paraId="26549721" w14:textId="2682027D" w:rsidR="00D51C06" w:rsidRPr="00B71B7C" w:rsidRDefault="00D51C06" w:rsidP="00D51C06">
      <w:pPr>
        <w:spacing w:after="266"/>
        <w:ind w:left="-5"/>
        <w:rPr>
          <w:rFonts w:ascii="Trebuchet MS" w:hAnsi="Trebuchet MS"/>
          <w:bCs/>
          <w:lang w:bidi="en-US"/>
        </w:rPr>
      </w:pPr>
      <w:r w:rsidRPr="00B71B7C">
        <w:rPr>
          <w:rFonts w:ascii="Trebuchet MS" w:hAnsi="Trebuchet MS"/>
          <w:bCs/>
          <w:lang w:bidi="en-US"/>
        </w:rPr>
        <w:t xml:space="preserve">Using the first two paragraphs of the PAPPG regarding Participant Support, a college procedure for Participant Support funds could be developed </w:t>
      </w:r>
      <w:proofErr w:type="gramStart"/>
      <w:r w:rsidRPr="00B71B7C">
        <w:rPr>
          <w:rFonts w:ascii="Trebuchet MS" w:hAnsi="Trebuchet MS"/>
          <w:bCs/>
          <w:lang w:bidi="en-US"/>
        </w:rPr>
        <w:t>similar to</w:t>
      </w:r>
      <w:proofErr w:type="gramEnd"/>
      <w:r w:rsidRPr="00B71B7C">
        <w:rPr>
          <w:rFonts w:ascii="Trebuchet MS" w:hAnsi="Trebuchet MS"/>
          <w:bCs/>
          <w:lang w:bidi="en-US"/>
        </w:rPr>
        <w:t xml:space="preserve"> the </w:t>
      </w:r>
      <w:r w:rsidR="00B71B7C">
        <w:rPr>
          <w:rFonts w:ascii="Trebuchet MS" w:hAnsi="Trebuchet MS"/>
          <w:bCs/>
          <w:lang w:bidi="en-US"/>
        </w:rPr>
        <w:t>sample</w:t>
      </w:r>
      <w:r w:rsidRPr="00B71B7C">
        <w:rPr>
          <w:rFonts w:ascii="Trebuchet MS" w:hAnsi="Trebuchet MS"/>
          <w:bCs/>
          <w:lang w:bidi="en-US"/>
        </w:rPr>
        <w:t xml:space="preserve"> below: </w:t>
      </w:r>
    </w:p>
    <w:p w14:paraId="36A9DD44" w14:textId="77777777" w:rsidR="00B71B7C" w:rsidRDefault="00B71B7C" w:rsidP="00B71B7C">
      <w:pPr>
        <w:spacing w:after="266"/>
        <w:ind w:left="540" w:right="810"/>
        <w:rPr>
          <w:rFonts w:ascii="Trebuchet MS" w:hAnsi="Trebuchet MS"/>
          <w:b/>
          <w:lang w:bidi="en-US"/>
        </w:rPr>
      </w:pPr>
      <w:r>
        <w:rPr>
          <w:rFonts w:ascii="Trebuchet MS" w:hAnsi="Trebuchet MS"/>
          <w:b/>
          <w:lang w:bidi="en-US"/>
        </w:rPr>
        <w:t xml:space="preserve">Sample </w:t>
      </w:r>
    </w:p>
    <w:p w14:paraId="16368915" w14:textId="13BF8DA6" w:rsidR="00D51C06" w:rsidRPr="00D51C06" w:rsidRDefault="00D51C06" w:rsidP="00B71B7C">
      <w:pPr>
        <w:spacing w:after="0"/>
        <w:ind w:left="540" w:right="810"/>
        <w:rPr>
          <w:rFonts w:ascii="Trebuchet MS" w:hAnsi="Trebuchet MS"/>
          <w:lang w:bidi="en-US"/>
        </w:rPr>
      </w:pPr>
      <w:r w:rsidRPr="00D51C06">
        <w:rPr>
          <w:rFonts w:ascii="Trebuchet MS" w:hAnsi="Trebuchet MS"/>
          <w:b/>
          <w:lang w:bidi="en-US"/>
        </w:rPr>
        <w:t xml:space="preserve">Procedure for grant expenditures classified as Participant Support   </w:t>
      </w:r>
    </w:p>
    <w:p w14:paraId="4535B808" w14:textId="77777777" w:rsidR="00D51C06" w:rsidRPr="00D51C06" w:rsidRDefault="00D51C06" w:rsidP="00B71B7C">
      <w:pPr>
        <w:spacing w:after="270"/>
        <w:ind w:left="540" w:right="810"/>
        <w:rPr>
          <w:rFonts w:ascii="Trebuchet MS" w:hAnsi="Trebuchet MS"/>
          <w:lang w:bidi="en-US"/>
        </w:rPr>
      </w:pPr>
      <w:r w:rsidRPr="00D51C06">
        <w:rPr>
          <w:rFonts w:ascii="Trebuchet MS" w:hAnsi="Trebuchet MS"/>
          <w:lang w:bidi="en-US"/>
        </w:rPr>
        <w:t>Participant support refers to</w:t>
      </w:r>
      <w:r w:rsidRPr="00D51C06">
        <w:rPr>
          <w:rFonts w:ascii="Trebuchet MS" w:hAnsi="Trebuchet MS"/>
          <w:b/>
          <w:lang w:bidi="en-US"/>
        </w:rPr>
        <w:t xml:space="preserve"> </w:t>
      </w:r>
      <w:r w:rsidRPr="00D51C06">
        <w:rPr>
          <w:rFonts w:ascii="Trebuchet MS" w:hAnsi="Trebuchet MS"/>
          <w:lang w:bidi="en-US"/>
        </w:rPr>
        <w:t xml:space="preserve">direct costs for items such as stipends or subsistence allowances, travel allowances, and registration fees paid to or on behalf of participants or trainees (but not employees) in connection with NSF-sponsored conferences or training projects. Unless included in a specific grant proposal budget and budget justification and approved by NSF when the award was made, expenditure of grant funds on any additional categories of participant support costs other than those described in 2 CFR § 200.75 (such as incentives, gifts, souvenirs, t-shirts and memorabilia) is not allowed.  </w:t>
      </w:r>
    </w:p>
    <w:p w14:paraId="38E1D6BC" w14:textId="77777777" w:rsidR="00D51C06" w:rsidRPr="00D51C06" w:rsidRDefault="00D51C06" w:rsidP="00B71B7C">
      <w:pPr>
        <w:spacing w:after="270"/>
        <w:ind w:left="540" w:right="810"/>
        <w:rPr>
          <w:rFonts w:ascii="Trebuchet MS" w:hAnsi="Trebuchet MS"/>
          <w:lang w:bidi="en-US"/>
        </w:rPr>
      </w:pPr>
      <w:r w:rsidRPr="00D51C06">
        <w:rPr>
          <w:rFonts w:ascii="Trebuchet MS" w:hAnsi="Trebuchet MS"/>
          <w:lang w:bidi="en-US"/>
        </w:rPr>
        <w:t xml:space="preserve">For some educational projects conducted at local school districts, the participants being trained are employees. In such cases, the costs will be classified as participant support if payment is made through a stipend or training allowance method. For such payment to be made, the school district must have an accounting mechanism in place (i.e., sub-account code) to differentiate between regular salary and stipend payments. </w:t>
      </w:r>
    </w:p>
    <w:p w14:paraId="4AF7BD3E" w14:textId="78488889" w:rsidR="00D51C06" w:rsidRPr="008A6C38" w:rsidRDefault="00D51C06" w:rsidP="00B71B7C">
      <w:pPr>
        <w:spacing w:after="266"/>
        <w:ind w:left="-5"/>
        <w:rPr>
          <w:rFonts w:ascii="Trebuchet MS" w:hAnsi="Trebuchet MS"/>
          <w:b/>
          <w:sz w:val="28"/>
          <w:szCs w:val="28"/>
          <w:u w:val="single" w:color="000000"/>
          <w:lang w:bidi="en-US"/>
        </w:rPr>
      </w:pPr>
      <w:r w:rsidRPr="008A6C38">
        <w:rPr>
          <w:rFonts w:ascii="Trebuchet MS" w:hAnsi="Trebuchet MS"/>
          <w:b/>
          <w:sz w:val="28"/>
          <w:szCs w:val="28"/>
          <w:u w:val="single" w:color="000000"/>
          <w:lang w:bidi="en-US"/>
        </w:rPr>
        <w:t>E</w:t>
      </w:r>
      <w:r w:rsidR="00B71B7C" w:rsidRPr="008A6C38">
        <w:rPr>
          <w:rFonts w:ascii="Trebuchet MS" w:hAnsi="Trebuchet MS"/>
          <w:b/>
          <w:sz w:val="28"/>
          <w:szCs w:val="28"/>
          <w:u w:val="single" w:color="000000"/>
          <w:lang w:bidi="en-US"/>
        </w:rPr>
        <w:t>xcerpt</w:t>
      </w:r>
      <w:r w:rsidRPr="008A6C38">
        <w:rPr>
          <w:rFonts w:ascii="Trebuchet MS" w:hAnsi="Trebuchet MS"/>
          <w:b/>
          <w:sz w:val="28"/>
          <w:szCs w:val="28"/>
          <w:u w:val="single" w:color="000000"/>
          <w:lang w:bidi="en-US"/>
        </w:rPr>
        <w:t xml:space="preserve"> from PAPPG</w:t>
      </w:r>
      <w:r w:rsidR="00B71B7C" w:rsidRPr="008A6C38">
        <w:rPr>
          <w:rFonts w:ascii="Trebuchet MS" w:hAnsi="Trebuchet MS"/>
          <w:b/>
          <w:sz w:val="28"/>
          <w:szCs w:val="28"/>
          <w:u w:val="single" w:color="000000"/>
          <w:lang w:bidi="en-US"/>
        </w:rPr>
        <w:t xml:space="preserve"> 24-1</w:t>
      </w:r>
      <w:r w:rsidRPr="008A6C38">
        <w:rPr>
          <w:rFonts w:ascii="Trebuchet MS" w:hAnsi="Trebuchet MS"/>
          <w:b/>
          <w:sz w:val="28"/>
          <w:szCs w:val="28"/>
          <w:u w:val="single" w:color="000000"/>
          <w:lang w:bidi="en-US"/>
        </w:rPr>
        <w:t xml:space="preserve"> </w:t>
      </w:r>
    </w:p>
    <w:p w14:paraId="7A1DCEE0" w14:textId="77777777" w:rsidR="00E4675B" w:rsidRDefault="00D51C06" w:rsidP="00E4675B">
      <w:pPr>
        <w:spacing w:after="266"/>
        <w:ind w:left="-5"/>
        <w:rPr>
          <w:rFonts w:ascii="Trebuchet MS" w:hAnsi="Trebuchet MS"/>
          <w:lang w:bidi="en-US"/>
        </w:rPr>
      </w:pPr>
      <w:r w:rsidRPr="00D51C06">
        <w:rPr>
          <w:rFonts w:ascii="Trebuchet MS" w:hAnsi="Trebuchet MS"/>
          <w:b/>
          <w:lang w:bidi="en-US"/>
        </w:rPr>
        <w:t xml:space="preserve">(v) Participant Support (Line F on the Proposal Budget) </w:t>
      </w:r>
      <w:r w:rsidRPr="00D51C06">
        <w:rPr>
          <w:rFonts w:ascii="Trebuchet MS" w:hAnsi="Trebuchet MS"/>
          <w:lang w:bidi="en-US"/>
        </w:rPr>
        <w:t xml:space="preserve"> </w:t>
      </w:r>
    </w:p>
    <w:p w14:paraId="591A0A5B" w14:textId="6CFE7D67" w:rsidR="00E4675B" w:rsidRPr="00E4675B" w:rsidRDefault="00E4675B" w:rsidP="00E4675B">
      <w:pPr>
        <w:spacing w:after="266"/>
        <w:ind w:left="0" w:firstLine="0"/>
        <w:rPr>
          <w:rFonts w:ascii="Trebuchet MS" w:hAnsi="Trebuchet MS"/>
          <w:lang w:bidi="en-US"/>
        </w:rPr>
      </w:pPr>
      <w:r w:rsidRPr="00E4675B">
        <w:rPr>
          <w:rFonts w:ascii="Trebuchet MS" w:hAnsi="Trebuchet MS"/>
        </w:rPr>
        <w:t xml:space="preserve">This budget category refers to direct costs for items such as stipends or subsistence allowances, travel allowances, and registration fees paid to or on behalf of participants or trainees (but not employees) in connection with NSF-sponsored conferences or training projects. Any additional categories of participant support costs other than those </w:t>
      </w:r>
      <w:r w:rsidRPr="00B71B7C">
        <w:rPr>
          <w:rFonts w:ascii="Trebuchet MS" w:hAnsi="Trebuchet MS"/>
        </w:rPr>
        <w:t xml:space="preserve">described in </w:t>
      </w:r>
      <w:r w:rsidRPr="00B71B7C">
        <w:rPr>
          <w:rStyle w:val="Strong"/>
          <w:rFonts w:ascii="Trebuchet MS" w:hAnsi="Trebuchet MS"/>
          <w:b w:val="0"/>
          <w:bCs w:val="0"/>
        </w:rPr>
        <w:t>2 CFR § 200.1</w:t>
      </w:r>
      <w:r w:rsidRPr="00B71B7C">
        <w:rPr>
          <w:rFonts w:ascii="Trebuchet MS" w:hAnsi="Trebuchet MS"/>
        </w:rPr>
        <w:t xml:space="preserve"> (such as incentives, gifts, souvenirs, t-shirts, and memorabilia), must be justified in the budget justification, and such costs will be closely scrutinized by NSF. (See also </w:t>
      </w:r>
      <w:r w:rsidRPr="00B71B7C">
        <w:rPr>
          <w:rStyle w:val="Strong"/>
          <w:rFonts w:ascii="Trebuchet MS" w:hAnsi="Trebuchet MS"/>
          <w:b w:val="0"/>
          <w:bCs w:val="0"/>
        </w:rPr>
        <w:t>Chapter II.F.7</w:t>
      </w:r>
      <w:r w:rsidRPr="00B71B7C">
        <w:rPr>
          <w:rFonts w:ascii="Trebuchet MS" w:hAnsi="Trebuchet MS"/>
          <w:b/>
          <w:bCs/>
        </w:rPr>
        <w:t>.)</w:t>
      </w:r>
      <w:r w:rsidRPr="00B71B7C">
        <w:rPr>
          <w:rFonts w:ascii="Trebuchet MS" w:hAnsi="Trebuchet MS"/>
        </w:rPr>
        <w:t xml:space="preserve"> Speakers and trainers generally are not considered participants and should not be included in this section of the budget. However, if the primary purpose of the individual’s</w:t>
      </w:r>
      <w:r w:rsidRPr="00E4675B">
        <w:rPr>
          <w:rFonts w:ascii="Trebuchet MS" w:hAnsi="Trebuchet MS"/>
        </w:rPr>
        <w:t xml:space="preserve"> attendance at the conference is learning and receiving training as a participant, then the costs may be included under participant support. If the primary purpose is to speak or assist with management of the conference, then such costs should be budgeted in appropriate categories other than participant support.</w:t>
      </w:r>
    </w:p>
    <w:p w14:paraId="570C1B13" w14:textId="77777777" w:rsidR="00E4675B" w:rsidRPr="00E4675B" w:rsidRDefault="00E4675B" w:rsidP="00E4675B">
      <w:pPr>
        <w:pStyle w:val="NormalWeb"/>
        <w:rPr>
          <w:rFonts w:ascii="Trebuchet MS" w:hAnsi="Trebuchet MS"/>
        </w:rPr>
      </w:pPr>
      <w:r w:rsidRPr="00E4675B">
        <w:rPr>
          <w:rFonts w:ascii="Trebuchet MS" w:hAnsi="Trebuchet MS"/>
        </w:rPr>
        <w:lastRenderedPageBreak/>
        <w:t>For some educational projects conducted at local school districts, the participants being trained are employees. In such cases, the costs must be classified as participant support if payment is made through a stipend or training allowance method. The school district must have an accounting mechanism in place (i.e., sub-account code) to differentiate between regular salary and stipend payments.</w:t>
      </w:r>
    </w:p>
    <w:p w14:paraId="067795D3" w14:textId="77777777" w:rsidR="00E4675B" w:rsidRPr="00E4675B" w:rsidRDefault="00E4675B" w:rsidP="00E4675B">
      <w:pPr>
        <w:pStyle w:val="NormalWeb"/>
        <w:rPr>
          <w:rFonts w:ascii="Trebuchet MS" w:hAnsi="Trebuchet MS"/>
        </w:rPr>
      </w:pPr>
      <w:r w:rsidRPr="00E4675B">
        <w:rPr>
          <w:rFonts w:ascii="Trebuchet MS" w:hAnsi="Trebuchet MS"/>
        </w:rPr>
        <w:t>To help defray the costs of participating in a conference or training activity, funds may be proposed for payment of stipends, per diem or subsistence allowances, based on the type and duration of the activity. Such allowances must be reasonable, in conformance with the policy of the proposing organization and limited to the days of attendance at the conference plus the actual travel time required to reach the conference location. Where meals or lodgings are furnished without charge or at a nominal cost (e.g., as part of the registration fee), the per diem or subsistence allowance should be correspondingly reduced. Although local participants may participate in conference meals and coffee breaks, funds may not be proposed to pay per diem or similar expenses for local participants in the conference. Costs related to an NSF-sponsored conference (e.g., venue rental fees, catering costs, supplies, etc.) that will be secured through a service agreement/contract should be budgeted on line G.6., “Other Direct Costs” to ensure appropriate allocation of indirect costs.</w:t>
      </w:r>
    </w:p>
    <w:p w14:paraId="34BB8509" w14:textId="77777777" w:rsidR="00E4675B" w:rsidRPr="00E4675B" w:rsidRDefault="00E4675B" w:rsidP="00E4675B">
      <w:pPr>
        <w:pStyle w:val="NormalWeb"/>
        <w:rPr>
          <w:rFonts w:ascii="Trebuchet MS" w:hAnsi="Trebuchet MS"/>
        </w:rPr>
      </w:pPr>
      <w:r w:rsidRPr="00E4675B">
        <w:rPr>
          <w:rFonts w:ascii="Trebuchet MS" w:hAnsi="Trebuchet MS"/>
        </w:rPr>
        <w:t>Funds may be requested for the travel costs of participants. If so, the restrictions regarding class of accommodations and use of U.S.-Flag air carriers are applicable.</w:t>
      </w:r>
      <w:r w:rsidRPr="00B71B7C">
        <w:rPr>
          <w:rStyle w:val="Strong"/>
          <w:rFonts w:ascii="Trebuchet MS" w:hAnsi="Trebuchet MS"/>
          <w:b w:val="0"/>
          <w:bCs w:val="0"/>
          <w:vertAlign w:val="superscript"/>
        </w:rPr>
        <w:t>18</w:t>
      </w:r>
      <w:r w:rsidRPr="00B71B7C">
        <w:rPr>
          <w:rFonts w:ascii="Trebuchet MS" w:hAnsi="Trebuchet MS"/>
          <w:b/>
          <w:bCs/>
          <w:vertAlign w:val="superscript"/>
        </w:rPr>
        <w:t xml:space="preserve"> </w:t>
      </w:r>
      <w:r w:rsidRPr="00E4675B">
        <w:rPr>
          <w:rFonts w:ascii="Trebuchet MS" w:hAnsi="Trebuchet MS"/>
        </w:rPr>
        <w:t xml:space="preserve">In training activities that involve </w:t>
      </w:r>
      <w:r w:rsidRPr="00B71B7C">
        <w:rPr>
          <w:rStyle w:val="Strong"/>
          <w:rFonts w:ascii="Trebuchet MS" w:hAnsi="Trebuchet MS"/>
          <w:b w:val="0"/>
          <w:bCs w:val="0"/>
        </w:rPr>
        <w:t>off-site field work</w:t>
      </w:r>
      <w:r w:rsidRPr="00E4675B">
        <w:rPr>
          <w:rFonts w:ascii="Trebuchet MS" w:hAnsi="Trebuchet MS"/>
        </w:rPr>
        <w:t xml:space="preserve">, costs of transportation of participants are allowable. The number of participants to be supported must be entered in the parentheses on the proposal budget. Participant support costs must be specified, itemized, </w:t>
      </w:r>
      <w:r w:rsidRPr="00B71B7C">
        <w:rPr>
          <w:rStyle w:val="Strong"/>
          <w:rFonts w:ascii="Trebuchet MS" w:hAnsi="Trebuchet MS"/>
          <w:b w:val="0"/>
          <w:bCs w:val="0"/>
        </w:rPr>
        <w:t>and</w:t>
      </w:r>
      <w:r w:rsidRPr="00E4675B">
        <w:rPr>
          <w:rFonts w:ascii="Trebuchet MS" w:hAnsi="Trebuchet MS"/>
        </w:rPr>
        <w:t xml:space="preserve"> justified in the budget justification section of the proposal. Indirect costs (F&amp;A) are not usually allowed on </w:t>
      </w:r>
      <w:r w:rsidRPr="00B71B7C">
        <w:rPr>
          <w:rStyle w:val="Strong"/>
          <w:rFonts w:ascii="Trebuchet MS" w:hAnsi="Trebuchet MS"/>
          <w:b w:val="0"/>
          <w:bCs w:val="0"/>
        </w:rPr>
        <w:t>costs budgeted as</w:t>
      </w:r>
      <w:r w:rsidRPr="00E4675B">
        <w:rPr>
          <w:rFonts w:ascii="Trebuchet MS" w:hAnsi="Trebuchet MS"/>
        </w:rPr>
        <w:t xml:space="preserve"> participant support unless the </w:t>
      </w:r>
      <w:r w:rsidRPr="00B71B7C">
        <w:rPr>
          <w:rStyle w:val="Strong"/>
          <w:rFonts w:ascii="Trebuchet MS" w:hAnsi="Trebuchet MS"/>
          <w:b w:val="0"/>
          <w:bCs w:val="0"/>
        </w:rPr>
        <w:t>recipient’s</w:t>
      </w:r>
      <w:r w:rsidRPr="00E4675B">
        <w:rPr>
          <w:rFonts w:ascii="Trebuchet MS" w:hAnsi="Trebuchet MS"/>
        </w:rPr>
        <w:t xml:space="preserve"> current, </w:t>
      </w:r>
      <w:r w:rsidRPr="00B71B7C">
        <w:rPr>
          <w:rStyle w:val="Strong"/>
          <w:rFonts w:ascii="Trebuchet MS" w:hAnsi="Trebuchet MS"/>
          <w:b w:val="0"/>
          <w:bCs w:val="0"/>
        </w:rPr>
        <w:t>Federally</w:t>
      </w:r>
      <w:r w:rsidRPr="00E4675B">
        <w:rPr>
          <w:rFonts w:ascii="Trebuchet MS" w:hAnsi="Trebuchet MS"/>
        </w:rPr>
        <w:t xml:space="preserve"> approved indirect cost rate agreement provides for allocation of F&amp;A to participant support costs. Participant support costs must be accounted for separately should an award be made.</w:t>
      </w:r>
    </w:p>
    <w:p w14:paraId="64492B04" w14:textId="77777777" w:rsidR="00D76C97" w:rsidRDefault="00D76C97" w:rsidP="00D76C97">
      <w:pPr>
        <w:ind w:left="0" w:firstLine="0"/>
        <w:rPr>
          <w:rFonts w:ascii="Trebuchet MS" w:hAnsi="Trebuchet MS"/>
        </w:rPr>
      </w:pPr>
    </w:p>
    <w:p w14:paraId="45190EC1" w14:textId="77777777" w:rsidR="00B71B7C" w:rsidRDefault="00B71B7C" w:rsidP="00D76C97">
      <w:pPr>
        <w:ind w:left="0" w:firstLine="0"/>
        <w:rPr>
          <w:rFonts w:ascii="Trebuchet MS" w:hAnsi="Trebuchet MS"/>
        </w:rPr>
      </w:pPr>
    </w:p>
    <w:p w14:paraId="60DCD772" w14:textId="77777777" w:rsidR="00B71B7C" w:rsidRDefault="00B71B7C" w:rsidP="00D76C97">
      <w:pPr>
        <w:ind w:left="0" w:firstLine="0"/>
        <w:rPr>
          <w:rFonts w:ascii="Trebuchet MS" w:hAnsi="Trebuchet MS"/>
        </w:rPr>
      </w:pPr>
    </w:p>
    <w:p w14:paraId="6A7B8FA8" w14:textId="77777777" w:rsidR="00B71B7C" w:rsidRDefault="00B71B7C" w:rsidP="00D76C97">
      <w:pPr>
        <w:ind w:left="0" w:firstLine="0"/>
        <w:rPr>
          <w:rFonts w:ascii="Trebuchet MS" w:hAnsi="Trebuchet MS"/>
        </w:rPr>
      </w:pPr>
    </w:p>
    <w:p w14:paraId="278EAB97" w14:textId="77777777" w:rsidR="00B71B7C" w:rsidRDefault="00B71B7C" w:rsidP="00D76C97">
      <w:pPr>
        <w:ind w:left="0" w:firstLine="0"/>
        <w:rPr>
          <w:rFonts w:ascii="Trebuchet MS" w:hAnsi="Trebuchet MS"/>
        </w:rPr>
      </w:pPr>
    </w:p>
    <w:p w14:paraId="321122DB" w14:textId="77777777" w:rsidR="00B71B7C" w:rsidRDefault="00B71B7C" w:rsidP="00D76C97">
      <w:pPr>
        <w:ind w:left="0" w:firstLine="0"/>
        <w:rPr>
          <w:rFonts w:ascii="Trebuchet MS" w:hAnsi="Trebuchet MS"/>
        </w:rPr>
      </w:pPr>
    </w:p>
    <w:p w14:paraId="14F0B3BF" w14:textId="77777777" w:rsidR="00B71B7C" w:rsidRPr="00D76C97" w:rsidRDefault="00B71B7C" w:rsidP="00D76C97">
      <w:pPr>
        <w:ind w:left="0" w:firstLine="0"/>
        <w:rPr>
          <w:rFonts w:ascii="Trebuchet MS" w:hAnsi="Trebuchet MS"/>
        </w:rPr>
      </w:pPr>
    </w:p>
    <w:p w14:paraId="472D02AC" w14:textId="3915C728" w:rsidR="00D76C97" w:rsidRPr="00D76C97" w:rsidRDefault="00D76C97" w:rsidP="00D76C97">
      <w:pPr>
        <w:rPr>
          <w:rFonts w:ascii="Trebuchet MS" w:hAnsi="Trebuchet MS"/>
        </w:rPr>
      </w:pPr>
    </w:p>
    <w:p w14:paraId="51A311F1" w14:textId="5575E3AB" w:rsidR="00D76C97" w:rsidRPr="00D76C97" w:rsidRDefault="00D76C97" w:rsidP="00D76C97">
      <w:pPr>
        <w:rPr>
          <w:rFonts w:ascii="Trebuchet MS" w:hAnsi="Trebuchet MS"/>
        </w:rPr>
      </w:pPr>
    </w:p>
    <w:p w14:paraId="6B3EEC58" w14:textId="54F9C2CA" w:rsidR="00D76C97" w:rsidRDefault="00D76C97" w:rsidP="00D76C97">
      <w:pPr>
        <w:rPr>
          <w:rFonts w:ascii="Trebuchet MS" w:hAnsi="Trebuchet MS"/>
          <w:b/>
          <w:bCs/>
        </w:rPr>
      </w:pPr>
    </w:p>
    <w:p w14:paraId="70B50048" w14:textId="5B57C3BA" w:rsidR="00D76C97" w:rsidRPr="002E549A" w:rsidRDefault="00D76C97" w:rsidP="00D76C97">
      <w:pPr>
        <w:spacing w:after="0" w:line="259" w:lineRule="auto"/>
        <w:ind w:left="0" w:firstLine="0"/>
        <w:rPr>
          <w:rFonts w:ascii="Trebuchet MS" w:hAnsi="Trebuchet MS"/>
        </w:rPr>
      </w:pPr>
      <w:r w:rsidRPr="002E549A">
        <w:rPr>
          <w:rFonts w:ascii="Trebuchet MS" w:hAnsi="Trebuchet MS"/>
          <w:noProof/>
          <w:sz w:val="20"/>
          <w:szCs w:val="20"/>
        </w:rPr>
        <w:drawing>
          <wp:anchor distT="0" distB="0" distL="114300" distR="114300" simplePos="0" relativeHeight="251659264" behindDoc="1" locked="0" layoutInCell="1" allowOverlap="1" wp14:anchorId="458938C4" wp14:editId="211CF753">
            <wp:simplePos x="0" y="0"/>
            <wp:positionH relativeFrom="column">
              <wp:posOffset>-166370</wp:posOffset>
            </wp:positionH>
            <wp:positionV relativeFrom="paragraph">
              <wp:posOffset>146050</wp:posOffset>
            </wp:positionV>
            <wp:extent cx="509270" cy="509270"/>
            <wp:effectExtent l="0" t="0" r="0" b="0"/>
            <wp:wrapThrough wrapText="bothSides">
              <wp:wrapPolygon edited="0">
                <wp:start x="0" y="0"/>
                <wp:lineTo x="0" y="21007"/>
                <wp:lineTo x="21007" y="21007"/>
                <wp:lineTo x="21007" y="0"/>
                <wp:lineTo x="0" y="0"/>
              </wp:wrapPolygon>
            </wp:wrapThrough>
            <wp:docPr id="1022242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CD321" w14:textId="0DF2F230" w:rsidR="00D76C97" w:rsidRPr="00D76C97" w:rsidRDefault="00D76C97" w:rsidP="00D76C97">
      <w:pPr>
        <w:spacing w:after="4273" w:line="259" w:lineRule="auto"/>
        <w:ind w:left="0" w:firstLine="0"/>
        <w:rPr>
          <w:rFonts w:ascii="Trebuchet MS" w:hAnsi="Trebuchet MS"/>
          <w:sz w:val="18"/>
          <w:szCs w:val="18"/>
        </w:rPr>
      </w:pPr>
      <w:r w:rsidRPr="002E549A">
        <w:rPr>
          <w:rFonts w:ascii="Trebuchet MS" w:hAnsi="Trebuchet MS"/>
          <w:sz w:val="18"/>
          <w:szCs w:val="18"/>
        </w:rPr>
        <w:t>This material is based upon work supported by the National Science Foundation Grant No. 2227301. Any opinions, findings, conclusions or recommendations are those of the author(s) and do not necessarily refle</w:t>
      </w:r>
      <w:r w:rsidRPr="00E90615">
        <w:rPr>
          <w:rFonts w:ascii="Trebuchet MS" w:hAnsi="Trebuchet MS"/>
          <w:sz w:val="18"/>
          <w:szCs w:val="18"/>
        </w:rPr>
        <w:t>ct the views of the National Science Foundation.</w:t>
      </w:r>
    </w:p>
    <w:sectPr w:rsidR="00D76C97" w:rsidRPr="00D76C97" w:rsidSect="00D76C9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F8B31" w14:textId="77777777" w:rsidR="00DD694F" w:rsidRDefault="00DD694F" w:rsidP="002F1113">
      <w:pPr>
        <w:spacing w:after="0" w:line="240" w:lineRule="auto"/>
      </w:pPr>
      <w:r>
        <w:separator/>
      </w:r>
    </w:p>
  </w:endnote>
  <w:endnote w:type="continuationSeparator" w:id="0">
    <w:p w14:paraId="6FEAB093" w14:textId="77777777" w:rsidR="00DD694F" w:rsidRDefault="00DD694F" w:rsidP="002F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583442022"/>
      <w:docPartObj>
        <w:docPartGallery w:val="Page Numbers (Bottom of Page)"/>
        <w:docPartUnique/>
      </w:docPartObj>
    </w:sdtPr>
    <w:sdtEndPr>
      <w:rPr>
        <w:noProof/>
      </w:rPr>
    </w:sdtEndPr>
    <w:sdtContent>
      <w:p w14:paraId="47850B3D" w14:textId="0DBED9F0" w:rsidR="008A6C38" w:rsidRPr="008A6C38" w:rsidRDefault="00C113DD" w:rsidP="008A6C38">
        <w:pPr>
          <w:pStyle w:val="Footer"/>
          <w:jc w:val="right"/>
          <w:rPr>
            <w:rFonts w:ascii="Trebuchet MS" w:hAnsi="Trebuchet MS"/>
          </w:rPr>
        </w:pPr>
        <w:r w:rsidRPr="004E3748">
          <w:rPr>
            <w:noProof/>
          </w:rPr>
          <w:drawing>
            <wp:anchor distT="0" distB="0" distL="114300" distR="114300" simplePos="0" relativeHeight="251658242" behindDoc="1" locked="0" layoutInCell="1" allowOverlap="1" wp14:anchorId="3A752404" wp14:editId="6EFB78EC">
              <wp:simplePos x="0" y="0"/>
              <wp:positionH relativeFrom="column">
                <wp:posOffset>-24130</wp:posOffset>
              </wp:positionH>
              <wp:positionV relativeFrom="paragraph">
                <wp:posOffset>92537</wp:posOffset>
              </wp:positionV>
              <wp:extent cx="361315" cy="367665"/>
              <wp:effectExtent l="0" t="0" r="0" b="635"/>
              <wp:wrapTight wrapText="bothSides">
                <wp:wrapPolygon edited="0">
                  <wp:start x="0" y="0"/>
                  <wp:lineTo x="0" y="20891"/>
                  <wp:lineTo x="20499" y="20891"/>
                  <wp:lineTo x="20499" y="0"/>
                  <wp:lineTo x="0" y="0"/>
                </wp:wrapPolygon>
              </wp:wrapTight>
              <wp:docPr id="2108930122" name="Picture 5" descr="logonew.png">
                <a:extLst xmlns:a="http://schemas.openxmlformats.org/drawingml/2006/main">
                  <a:ext uri="{FF2B5EF4-FFF2-40B4-BE49-F238E27FC236}">
                    <a16:creationId xmlns:a16="http://schemas.microsoft.com/office/drawing/2014/main" id="{2DF3B308-2C90-557F-8874-6DCA84F0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new.png">
                        <a:extLst>
                          <a:ext uri="{FF2B5EF4-FFF2-40B4-BE49-F238E27FC236}">
                            <a16:creationId xmlns:a16="http://schemas.microsoft.com/office/drawing/2014/main" id="{2DF3B308-2C90-557F-8874-6DCA84F01C63}"/>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361315" cy="367665"/>
                      </a:xfrm>
                      <a:prstGeom prst="rect">
                        <a:avLst/>
                      </a:prstGeom>
                      <a:effectLst/>
                    </pic:spPr>
                  </pic:pic>
                </a:graphicData>
              </a:graphic>
              <wp14:sizeRelH relativeFrom="page">
                <wp14:pctWidth>0</wp14:pctWidth>
              </wp14:sizeRelH>
              <wp14:sizeRelV relativeFrom="page">
                <wp14:pctHeight>0</wp14:pctHeight>
              </wp14:sizeRelV>
            </wp:anchor>
          </w:drawing>
        </w:r>
        <w:r w:rsidR="006E274D" w:rsidRPr="004E3748">
          <w:rPr>
            <w:rFonts w:ascii="Trebuchet MS" w:hAnsi="Trebuchet MS"/>
          </w:rPr>
          <w:br/>
        </w:r>
        <w:r w:rsidR="00B71B7C">
          <w:rPr>
            <w:rFonts w:ascii="Trebuchet MS" w:hAnsi="Trebuchet MS"/>
            <w:lang w:bidi="en-US"/>
          </w:rPr>
          <w:t xml:space="preserve">Guidelines </w:t>
        </w:r>
        <w:r w:rsidR="004E3748" w:rsidRPr="00D51C06">
          <w:rPr>
            <w:rFonts w:ascii="Trebuchet MS" w:hAnsi="Trebuchet MS"/>
            <w:lang w:bidi="en-US"/>
          </w:rPr>
          <w:t>Developing Policies and Procedures</w:t>
        </w:r>
        <w:r w:rsidR="00B71B7C">
          <w:rPr>
            <w:rFonts w:ascii="Trebuchet MS" w:hAnsi="Trebuchet MS"/>
            <w:lang w:bidi="en-US"/>
          </w:rPr>
          <w:tab/>
        </w:r>
        <w:r w:rsidR="008A6C38" w:rsidRPr="008A6C38">
          <w:rPr>
            <w:rFonts w:ascii="Trebuchet MS" w:hAnsi="Trebuchet MS"/>
          </w:rPr>
          <w:fldChar w:fldCharType="begin"/>
        </w:r>
        <w:r w:rsidR="008A6C38" w:rsidRPr="008A6C38">
          <w:rPr>
            <w:rFonts w:ascii="Trebuchet MS" w:hAnsi="Trebuchet MS"/>
          </w:rPr>
          <w:instrText xml:space="preserve"> PAGE </w:instrText>
        </w:r>
        <w:r w:rsidR="008A6C38" w:rsidRPr="008A6C38">
          <w:rPr>
            <w:rFonts w:ascii="Trebuchet MS" w:hAnsi="Trebuchet MS"/>
          </w:rPr>
          <w:fldChar w:fldCharType="separate"/>
        </w:r>
        <w:r w:rsidR="008A6C38">
          <w:rPr>
            <w:rFonts w:ascii="Trebuchet MS" w:hAnsi="Trebuchet MS"/>
          </w:rPr>
          <w:t>1</w:t>
        </w:r>
        <w:r w:rsidR="008A6C38" w:rsidRPr="008A6C38">
          <w:rPr>
            <w:rFonts w:ascii="Trebuchet MS" w:hAnsi="Trebuchet MS"/>
          </w:rPr>
          <w:fldChar w:fldCharType="end"/>
        </w:r>
        <w:r w:rsidR="008A6C38" w:rsidRPr="008A6C38">
          <w:rPr>
            <w:rFonts w:ascii="Trebuchet MS" w:hAnsi="Trebuchet MS"/>
          </w:rPr>
          <w:t xml:space="preserve"> of </w:t>
        </w:r>
        <w:r w:rsidR="008A6C38" w:rsidRPr="008A6C38">
          <w:rPr>
            <w:rFonts w:ascii="Trebuchet MS" w:hAnsi="Trebuchet MS"/>
          </w:rPr>
          <w:fldChar w:fldCharType="begin"/>
        </w:r>
        <w:r w:rsidR="008A6C38" w:rsidRPr="008A6C38">
          <w:rPr>
            <w:rFonts w:ascii="Trebuchet MS" w:hAnsi="Trebuchet MS"/>
          </w:rPr>
          <w:instrText xml:space="preserve"> NUMPAGES  </w:instrText>
        </w:r>
        <w:r w:rsidR="008A6C38" w:rsidRPr="008A6C38">
          <w:rPr>
            <w:rFonts w:ascii="Trebuchet MS" w:hAnsi="Trebuchet MS"/>
          </w:rPr>
          <w:fldChar w:fldCharType="separate"/>
        </w:r>
        <w:r w:rsidR="008A6C38">
          <w:rPr>
            <w:rFonts w:ascii="Trebuchet MS" w:hAnsi="Trebuchet MS"/>
          </w:rPr>
          <w:t>3</w:t>
        </w:r>
        <w:r w:rsidR="008A6C38" w:rsidRPr="008A6C38">
          <w:rPr>
            <w:rFonts w:ascii="Trebuchet MS" w:hAnsi="Trebuchet MS"/>
          </w:rPr>
          <w:fldChar w:fldCharType="end"/>
        </w:r>
      </w:p>
      <w:p w14:paraId="0308B3FF" w14:textId="560D01A5" w:rsidR="006E274D" w:rsidRPr="004E3748" w:rsidRDefault="008A6C38" w:rsidP="004E3748">
        <w:pPr>
          <w:pStyle w:val="Footer"/>
          <w:tabs>
            <w:tab w:val="left" w:pos="5760"/>
          </w:tabs>
          <w:rPr>
            <w:rFonts w:ascii="Trebuchet MS" w:hAnsi="Trebuchet MS"/>
            <w:lang w:bidi="en-U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280575278"/>
      <w:docPartObj>
        <w:docPartGallery w:val="Page Numbers (Bottom of Page)"/>
        <w:docPartUnique/>
      </w:docPartObj>
    </w:sdtPr>
    <w:sdtContent>
      <w:sdt>
        <w:sdtPr>
          <w:rPr>
            <w:rFonts w:ascii="Trebuchet MS" w:hAnsi="Trebuchet MS"/>
          </w:rPr>
          <w:id w:val="-1769616900"/>
          <w:docPartObj>
            <w:docPartGallery w:val="Page Numbers (Top of Page)"/>
            <w:docPartUnique/>
          </w:docPartObj>
        </w:sdtPr>
        <w:sdtContent>
          <w:p w14:paraId="02DC7E83" w14:textId="05BAC80C" w:rsidR="00B71B7C" w:rsidRPr="008A6C38" w:rsidRDefault="008A6C38">
            <w:pPr>
              <w:pStyle w:val="Footer"/>
              <w:jc w:val="right"/>
              <w:rPr>
                <w:rFonts w:ascii="Trebuchet MS" w:hAnsi="Trebuchet MS"/>
              </w:rPr>
            </w:pPr>
            <w:r w:rsidRPr="004E3748">
              <w:rPr>
                <w:noProof/>
              </w:rPr>
              <w:drawing>
                <wp:anchor distT="0" distB="0" distL="114300" distR="114300" simplePos="0" relativeHeight="251663362" behindDoc="1" locked="0" layoutInCell="1" allowOverlap="1" wp14:anchorId="60108011" wp14:editId="511C59DF">
                  <wp:simplePos x="0" y="0"/>
                  <wp:positionH relativeFrom="column">
                    <wp:posOffset>-47625</wp:posOffset>
                  </wp:positionH>
                  <wp:positionV relativeFrom="paragraph">
                    <wp:posOffset>62230</wp:posOffset>
                  </wp:positionV>
                  <wp:extent cx="361315" cy="367665"/>
                  <wp:effectExtent l="0" t="0" r="0" b="635"/>
                  <wp:wrapTight wrapText="bothSides">
                    <wp:wrapPolygon edited="0">
                      <wp:start x="0" y="0"/>
                      <wp:lineTo x="0" y="20891"/>
                      <wp:lineTo x="20499" y="20891"/>
                      <wp:lineTo x="20499" y="0"/>
                      <wp:lineTo x="0" y="0"/>
                    </wp:wrapPolygon>
                  </wp:wrapTight>
                  <wp:docPr id="1342616445" name="Picture 5" descr="logonew.png">
                    <a:extLst xmlns:a="http://schemas.openxmlformats.org/drawingml/2006/main">
                      <a:ext uri="{FF2B5EF4-FFF2-40B4-BE49-F238E27FC236}">
                        <a16:creationId xmlns:a16="http://schemas.microsoft.com/office/drawing/2014/main" id="{2DF3B308-2C90-557F-8874-6DCA84F0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new.png">
                            <a:extLst>
                              <a:ext uri="{FF2B5EF4-FFF2-40B4-BE49-F238E27FC236}">
                                <a16:creationId xmlns:a16="http://schemas.microsoft.com/office/drawing/2014/main" id="{2DF3B308-2C90-557F-8874-6DCA84F01C63}"/>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361315" cy="367665"/>
                          </a:xfrm>
                          <a:prstGeom prst="rect">
                            <a:avLst/>
                          </a:prstGeom>
                          <a:effectLst/>
                        </pic:spPr>
                      </pic:pic>
                    </a:graphicData>
                  </a:graphic>
                  <wp14:sizeRelH relativeFrom="page">
                    <wp14:pctWidth>0</wp14:pctWidth>
                  </wp14:sizeRelH>
                  <wp14:sizeRelV relativeFrom="page">
                    <wp14:pctHeight>0</wp14:pctHeight>
                  </wp14:sizeRelV>
                </wp:anchor>
              </w:drawing>
            </w:r>
            <w:r w:rsidRPr="004E3748">
              <w:rPr>
                <w:rFonts w:ascii="Trebuchet MS" w:hAnsi="Trebuchet MS"/>
              </w:rPr>
              <w:br/>
            </w:r>
            <w:r>
              <w:rPr>
                <w:rFonts w:ascii="Trebuchet MS" w:hAnsi="Trebuchet MS"/>
                <w:lang w:bidi="en-US"/>
              </w:rPr>
              <w:t xml:space="preserve">Guidelines </w:t>
            </w:r>
            <w:r w:rsidRPr="00D51C06">
              <w:rPr>
                <w:rFonts w:ascii="Trebuchet MS" w:hAnsi="Trebuchet MS"/>
                <w:lang w:bidi="en-US"/>
              </w:rPr>
              <w:t>Developing Policies and Procedures</w:t>
            </w:r>
            <w:r>
              <w:rPr>
                <w:rFonts w:ascii="Trebuchet MS" w:hAnsi="Trebuchet MS"/>
                <w:lang w:bidi="en-US"/>
              </w:rPr>
              <w:tab/>
            </w:r>
            <w:r w:rsidR="00B71B7C" w:rsidRPr="008A6C38">
              <w:rPr>
                <w:rFonts w:ascii="Trebuchet MS" w:hAnsi="Trebuchet MS"/>
              </w:rPr>
              <w:fldChar w:fldCharType="begin"/>
            </w:r>
            <w:r w:rsidR="00B71B7C" w:rsidRPr="008A6C38">
              <w:rPr>
                <w:rFonts w:ascii="Trebuchet MS" w:hAnsi="Trebuchet MS"/>
              </w:rPr>
              <w:instrText xml:space="preserve"> PAGE </w:instrText>
            </w:r>
            <w:r w:rsidR="00B71B7C" w:rsidRPr="008A6C38">
              <w:rPr>
                <w:rFonts w:ascii="Trebuchet MS" w:hAnsi="Trebuchet MS"/>
              </w:rPr>
              <w:fldChar w:fldCharType="separate"/>
            </w:r>
            <w:r w:rsidR="00B71B7C" w:rsidRPr="008A6C38">
              <w:rPr>
                <w:rFonts w:ascii="Trebuchet MS" w:hAnsi="Trebuchet MS"/>
                <w:noProof/>
              </w:rPr>
              <w:t>2</w:t>
            </w:r>
            <w:r w:rsidR="00B71B7C" w:rsidRPr="008A6C38">
              <w:rPr>
                <w:rFonts w:ascii="Trebuchet MS" w:hAnsi="Trebuchet MS"/>
              </w:rPr>
              <w:fldChar w:fldCharType="end"/>
            </w:r>
            <w:r w:rsidR="00B71B7C" w:rsidRPr="008A6C38">
              <w:rPr>
                <w:rFonts w:ascii="Trebuchet MS" w:hAnsi="Trebuchet MS"/>
              </w:rPr>
              <w:t xml:space="preserve"> of </w:t>
            </w:r>
            <w:r w:rsidR="00B71B7C" w:rsidRPr="008A6C38">
              <w:rPr>
                <w:rFonts w:ascii="Trebuchet MS" w:hAnsi="Trebuchet MS"/>
              </w:rPr>
              <w:fldChar w:fldCharType="begin"/>
            </w:r>
            <w:r w:rsidR="00B71B7C" w:rsidRPr="008A6C38">
              <w:rPr>
                <w:rFonts w:ascii="Trebuchet MS" w:hAnsi="Trebuchet MS"/>
              </w:rPr>
              <w:instrText xml:space="preserve"> NUMPAGES  </w:instrText>
            </w:r>
            <w:r w:rsidR="00B71B7C" w:rsidRPr="008A6C38">
              <w:rPr>
                <w:rFonts w:ascii="Trebuchet MS" w:hAnsi="Trebuchet MS"/>
              </w:rPr>
              <w:fldChar w:fldCharType="separate"/>
            </w:r>
            <w:r w:rsidR="00B71B7C" w:rsidRPr="008A6C38">
              <w:rPr>
                <w:rFonts w:ascii="Trebuchet MS" w:hAnsi="Trebuchet MS"/>
                <w:noProof/>
              </w:rPr>
              <w:t>2</w:t>
            </w:r>
            <w:r w:rsidR="00B71B7C" w:rsidRPr="008A6C38">
              <w:rPr>
                <w:rFonts w:ascii="Trebuchet MS" w:hAnsi="Trebuchet MS"/>
              </w:rPr>
              <w:fldChar w:fldCharType="end"/>
            </w:r>
          </w:p>
        </w:sdtContent>
      </w:sdt>
    </w:sdtContent>
  </w:sdt>
  <w:p w14:paraId="04104230" w14:textId="1D208008" w:rsidR="00F325A0" w:rsidRPr="004E3748" w:rsidRDefault="00F325A0" w:rsidP="07596326">
    <w:pPr>
      <w:pStyle w:val="Footer"/>
      <w:tabs>
        <w:tab w:val="left" w:pos="5760"/>
      </w:tabs>
      <w:ind w:left="0" w:firstLine="0"/>
      <w:rPr>
        <w:rFonts w:ascii="Trebuchet MS" w:hAnsi="Trebuchet MS"/>
        <w:b/>
        <w:bCs/>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F15A9" w14:textId="77777777" w:rsidR="00DD694F" w:rsidRDefault="00DD694F" w:rsidP="002F1113">
      <w:pPr>
        <w:spacing w:after="0" w:line="240" w:lineRule="auto"/>
      </w:pPr>
      <w:r>
        <w:separator/>
      </w:r>
    </w:p>
  </w:footnote>
  <w:footnote w:type="continuationSeparator" w:id="0">
    <w:p w14:paraId="4EB3F31F" w14:textId="77777777" w:rsidR="00DD694F" w:rsidRDefault="00DD694F" w:rsidP="002F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440E" w14:textId="271AE639" w:rsidR="00664EB4" w:rsidRDefault="00664EB4" w:rsidP="00A1424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425C" w14:textId="57CBACCE" w:rsidR="00F325A0" w:rsidRDefault="00D76C97">
    <w:pPr>
      <w:pStyle w:val="Header"/>
    </w:pPr>
    <w:r w:rsidRPr="00421FE8">
      <w:rPr>
        <w:noProof/>
      </w:rPr>
      <w:drawing>
        <wp:anchor distT="0" distB="0" distL="114300" distR="114300" simplePos="0" relativeHeight="251661314" behindDoc="1" locked="0" layoutInCell="1" allowOverlap="1" wp14:anchorId="438FA940" wp14:editId="43C75A70">
          <wp:simplePos x="0" y="0"/>
          <wp:positionH relativeFrom="column">
            <wp:posOffset>2663190</wp:posOffset>
          </wp:positionH>
          <wp:positionV relativeFrom="paragraph">
            <wp:posOffset>-236855</wp:posOffset>
          </wp:positionV>
          <wp:extent cx="552450" cy="561975"/>
          <wp:effectExtent l="0" t="0" r="6350" b="0"/>
          <wp:wrapTight wrapText="bothSides">
            <wp:wrapPolygon edited="0">
              <wp:start x="0" y="0"/>
              <wp:lineTo x="0" y="20990"/>
              <wp:lineTo x="21352" y="20990"/>
              <wp:lineTo x="21352" y="0"/>
              <wp:lineTo x="0" y="0"/>
            </wp:wrapPolygon>
          </wp:wrapTight>
          <wp:docPr id="602500992" name="Picture 5" descr="logonew.png">
            <a:extLst xmlns:a="http://schemas.openxmlformats.org/drawingml/2006/main">
              <a:ext uri="{FF2B5EF4-FFF2-40B4-BE49-F238E27FC236}">
                <a16:creationId xmlns:a16="http://schemas.microsoft.com/office/drawing/2014/main" id="{2DF3B308-2C90-557F-8874-6DCA84F0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new.png">
                    <a:extLst>
                      <a:ext uri="{FF2B5EF4-FFF2-40B4-BE49-F238E27FC236}">
                        <a16:creationId xmlns:a16="http://schemas.microsoft.com/office/drawing/2014/main" id="{2DF3B308-2C90-557F-8874-6DCA84F01C63}"/>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552450" cy="561975"/>
                  </a:xfrm>
                  <a:prstGeom prst="rect">
                    <a:avLst/>
                  </a:prstGeom>
                  <a:effectLst/>
                </pic:spPr>
              </pic:pic>
            </a:graphicData>
          </a:graphic>
          <wp14:sizeRelH relativeFrom="page">
            <wp14:pctWidth>0</wp14:pctWidth>
          </wp14:sizeRelH>
          <wp14:sizeRelV relativeFrom="page">
            <wp14:pctHeight>0</wp14:pctHeight>
          </wp14:sizeRelV>
        </wp:anchor>
      </w:drawing>
    </w:r>
    <w:r w:rsidRPr="00421FE8">
      <w:rPr>
        <w:noProof/>
      </w:rPr>
      <w:drawing>
        <wp:anchor distT="0" distB="0" distL="114300" distR="114300" simplePos="0" relativeHeight="251660290" behindDoc="1" locked="0" layoutInCell="1" allowOverlap="1" wp14:anchorId="142E40FE" wp14:editId="717C11D1">
          <wp:simplePos x="0" y="0"/>
          <wp:positionH relativeFrom="column">
            <wp:posOffset>-281305</wp:posOffset>
          </wp:positionH>
          <wp:positionV relativeFrom="paragraph">
            <wp:posOffset>-195580</wp:posOffset>
          </wp:positionV>
          <wp:extent cx="6419850" cy="404495"/>
          <wp:effectExtent l="0" t="0" r="0" b="0"/>
          <wp:wrapTight wrapText="bothSides">
            <wp:wrapPolygon edited="0">
              <wp:start x="0" y="0"/>
              <wp:lineTo x="0" y="20345"/>
              <wp:lineTo x="21531" y="20345"/>
              <wp:lineTo x="21531" y="0"/>
              <wp:lineTo x="0" y="0"/>
            </wp:wrapPolygon>
          </wp:wrapTight>
          <wp:docPr id="244174870" name="Picture 9" descr="Border1.jpg">
            <a:extLst xmlns:a="http://schemas.openxmlformats.org/drawingml/2006/main">
              <a:ext uri="{FF2B5EF4-FFF2-40B4-BE49-F238E27FC236}">
                <a16:creationId xmlns:a16="http://schemas.microsoft.com/office/drawing/2014/main" id="{D4409530-2283-E906-13E3-4EC88C5FA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Border1.jpg">
                    <a:extLst>
                      <a:ext uri="{FF2B5EF4-FFF2-40B4-BE49-F238E27FC236}">
                        <a16:creationId xmlns:a16="http://schemas.microsoft.com/office/drawing/2014/main" id="{D4409530-2283-E906-13E3-4EC88C5FA7AD}"/>
                      </a:ext>
                    </a:extLst>
                  </pic:cNvPr>
                  <pic:cNvPicPr>
                    <a:picLocks noChangeAspect="1"/>
                  </pic:cNvPicPr>
                </pic:nvPicPr>
                <pic:blipFill rotWithShape="1">
                  <a:blip r:embed="rId2" cstate="email">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dtfl="http://schemas.microsoft.com/office/word/2024/wordml/sdtformatlock" id="{D4409530-2283-E906-13E3-4EC88C5FA7AD}"/>
                      </a:ext>
                    </a:extLst>
                  </a:blip>
                  <a:srcRect b="56625"/>
                  <a:stretch/>
                </pic:blipFill>
                <pic:spPr bwMode="auto">
                  <a:xfrm>
                    <a:off x="0" y="0"/>
                    <a:ext cx="6419850" cy="404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72"/>
    <w:multiLevelType w:val="multilevel"/>
    <w:tmpl w:val="B822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90D2B"/>
    <w:multiLevelType w:val="hybridMultilevel"/>
    <w:tmpl w:val="2CE4854E"/>
    <w:lvl w:ilvl="0" w:tplc="FFFFFFFF">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140" w:hanging="360"/>
      </w:pPr>
      <w:rPr>
        <w:rFonts w:ascii="Symbol" w:hAnsi="Symbol" w:hint="default"/>
      </w:rPr>
    </w:lvl>
    <w:lvl w:ilvl="2" w:tplc="FFFFFFFF">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854CB8"/>
    <w:multiLevelType w:val="hybridMultilevel"/>
    <w:tmpl w:val="D66456FA"/>
    <w:lvl w:ilvl="0" w:tplc="337C9A5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0932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8A0A9E">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6275E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87FBE">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2672E">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0AD2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AA888">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858B0">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C62131"/>
    <w:multiLevelType w:val="hybridMultilevel"/>
    <w:tmpl w:val="F9B2DB12"/>
    <w:lvl w:ilvl="0" w:tplc="04090019">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5E5D14"/>
    <w:multiLevelType w:val="multilevel"/>
    <w:tmpl w:val="1F04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654335">
    <w:abstractNumId w:val="2"/>
  </w:num>
  <w:num w:numId="2" w16cid:durableId="178273446">
    <w:abstractNumId w:val="3"/>
  </w:num>
  <w:num w:numId="3" w16cid:durableId="1654262284">
    <w:abstractNumId w:val="1"/>
  </w:num>
  <w:num w:numId="4" w16cid:durableId="1078602490">
    <w:abstractNumId w:val="0"/>
  </w:num>
  <w:num w:numId="5" w16cid:durableId="1044213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A6"/>
    <w:rsid w:val="00010A29"/>
    <w:rsid w:val="00032B91"/>
    <w:rsid w:val="00052384"/>
    <w:rsid w:val="00062497"/>
    <w:rsid w:val="000742DB"/>
    <w:rsid w:val="000757BF"/>
    <w:rsid w:val="0008417D"/>
    <w:rsid w:val="0008473B"/>
    <w:rsid w:val="001416C7"/>
    <w:rsid w:val="00152D13"/>
    <w:rsid w:val="00154C4E"/>
    <w:rsid w:val="00174220"/>
    <w:rsid w:val="00195023"/>
    <w:rsid w:val="001C2A2B"/>
    <w:rsid w:val="001C367B"/>
    <w:rsid w:val="001D23FF"/>
    <w:rsid w:val="0020145A"/>
    <w:rsid w:val="0023162F"/>
    <w:rsid w:val="002316FD"/>
    <w:rsid w:val="00247215"/>
    <w:rsid w:val="0028479B"/>
    <w:rsid w:val="00291BA8"/>
    <w:rsid w:val="00292F80"/>
    <w:rsid w:val="002A57A3"/>
    <w:rsid w:val="002B32A4"/>
    <w:rsid w:val="002C2055"/>
    <w:rsid w:val="002D6C48"/>
    <w:rsid w:val="002E7102"/>
    <w:rsid w:val="002F1113"/>
    <w:rsid w:val="00307A33"/>
    <w:rsid w:val="00316536"/>
    <w:rsid w:val="003245A1"/>
    <w:rsid w:val="003343F3"/>
    <w:rsid w:val="003454AB"/>
    <w:rsid w:val="00361D8D"/>
    <w:rsid w:val="00362020"/>
    <w:rsid w:val="00391E00"/>
    <w:rsid w:val="003A5B48"/>
    <w:rsid w:val="003B0050"/>
    <w:rsid w:val="003B35B6"/>
    <w:rsid w:val="003E68E2"/>
    <w:rsid w:val="004174DA"/>
    <w:rsid w:val="004201F8"/>
    <w:rsid w:val="004320DA"/>
    <w:rsid w:val="00443B40"/>
    <w:rsid w:val="00446C73"/>
    <w:rsid w:val="00456748"/>
    <w:rsid w:val="004704F7"/>
    <w:rsid w:val="00493F96"/>
    <w:rsid w:val="004943D3"/>
    <w:rsid w:val="004B2E82"/>
    <w:rsid w:val="004D14DE"/>
    <w:rsid w:val="004E3748"/>
    <w:rsid w:val="004F0D71"/>
    <w:rsid w:val="00507815"/>
    <w:rsid w:val="0051460F"/>
    <w:rsid w:val="00535A6F"/>
    <w:rsid w:val="0056100B"/>
    <w:rsid w:val="0056281A"/>
    <w:rsid w:val="00575DDB"/>
    <w:rsid w:val="0058087D"/>
    <w:rsid w:val="005A1BCF"/>
    <w:rsid w:val="005C3BA4"/>
    <w:rsid w:val="005D11A7"/>
    <w:rsid w:val="005D3755"/>
    <w:rsid w:val="005D79D9"/>
    <w:rsid w:val="005F413B"/>
    <w:rsid w:val="005F5B6F"/>
    <w:rsid w:val="00664EB4"/>
    <w:rsid w:val="00673190"/>
    <w:rsid w:val="00673F79"/>
    <w:rsid w:val="00676003"/>
    <w:rsid w:val="00695D7A"/>
    <w:rsid w:val="006A155F"/>
    <w:rsid w:val="006C58BE"/>
    <w:rsid w:val="006E274D"/>
    <w:rsid w:val="006F5E90"/>
    <w:rsid w:val="00731F6B"/>
    <w:rsid w:val="00735AA7"/>
    <w:rsid w:val="00742DFF"/>
    <w:rsid w:val="00745CD0"/>
    <w:rsid w:val="00746E3B"/>
    <w:rsid w:val="007579AF"/>
    <w:rsid w:val="00764E26"/>
    <w:rsid w:val="007A3769"/>
    <w:rsid w:val="007A6C9A"/>
    <w:rsid w:val="007B1E66"/>
    <w:rsid w:val="007B2E7E"/>
    <w:rsid w:val="007B3D84"/>
    <w:rsid w:val="007B615D"/>
    <w:rsid w:val="007C03AD"/>
    <w:rsid w:val="007C52ED"/>
    <w:rsid w:val="007D42EB"/>
    <w:rsid w:val="007E2338"/>
    <w:rsid w:val="00830403"/>
    <w:rsid w:val="00873439"/>
    <w:rsid w:val="00876842"/>
    <w:rsid w:val="00880297"/>
    <w:rsid w:val="00886757"/>
    <w:rsid w:val="00896F5C"/>
    <w:rsid w:val="00897764"/>
    <w:rsid w:val="008A0CB9"/>
    <w:rsid w:val="008A4EF7"/>
    <w:rsid w:val="008A6C38"/>
    <w:rsid w:val="008A6D75"/>
    <w:rsid w:val="008B48C5"/>
    <w:rsid w:val="008C324F"/>
    <w:rsid w:val="008C79CA"/>
    <w:rsid w:val="008D08BA"/>
    <w:rsid w:val="008D66CD"/>
    <w:rsid w:val="008E6A5A"/>
    <w:rsid w:val="008F5D06"/>
    <w:rsid w:val="00902833"/>
    <w:rsid w:val="009127DC"/>
    <w:rsid w:val="00917AA7"/>
    <w:rsid w:val="00923735"/>
    <w:rsid w:val="009239EE"/>
    <w:rsid w:val="00950761"/>
    <w:rsid w:val="009567BD"/>
    <w:rsid w:val="009638DB"/>
    <w:rsid w:val="00966C23"/>
    <w:rsid w:val="0097320C"/>
    <w:rsid w:val="009924F6"/>
    <w:rsid w:val="0099799F"/>
    <w:rsid w:val="009A507C"/>
    <w:rsid w:val="009B13EA"/>
    <w:rsid w:val="009B2393"/>
    <w:rsid w:val="009E247A"/>
    <w:rsid w:val="00A0500D"/>
    <w:rsid w:val="00A14244"/>
    <w:rsid w:val="00A149CF"/>
    <w:rsid w:val="00A4558B"/>
    <w:rsid w:val="00A45C84"/>
    <w:rsid w:val="00A45EB3"/>
    <w:rsid w:val="00A7193B"/>
    <w:rsid w:val="00A7420D"/>
    <w:rsid w:val="00AA435A"/>
    <w:rsid w:val="00AB5E8F"/>
    <w:rsid w:val="00AB70E3"/>
    <w:rsid w:val="00AD64F2"/>
    <w:rsid w:val="00AF22E8"/>
    <w:rsid w:val="00AF6383"/>
    <w:rsid w:val="00B014F4"/>
    <w:rsid w:val="00B15D61"/>
    <w:rsid w:val="00B2535D"/>
    <w:rsid w:val="00B44999"/>
    <w:rsid w:val="00B505CD"/>
    <w:rsid w:val="00B71B7C"/>
    <w:rsid w:val="00B736A1"/>
    <w:rsid w:val="00B76EB9"/>
    <w:rsid w:val="00BA0328"/>
    <w:rsid w:val="00BB5A1A"/>
    <w:rsid w:val="00BB6142"/>
    <w:rsid w:val="00BF2B67"/>
    <w:rsid w:val="00C00234"/>
    <w:rsid w:val="00C0199F"/>
    <w:rsid w:val="00C01D0E"/>
    <w:rsid w:val="00C04EDC"/>
    <w:rsid w:val="00C113DD"/>
    <w:rsid w:val="00C15335"/>
    <w:rsid w:val="00C376D7"/>
    <w:rsid w:val="00C5025C"/>
    <w:rsid w:val="00C50A9C"/>
    <w:rsid w:val="00C772E8"/>
    <w:rsid w:val="00CD09F6"/>
    <w:rsid w:val="00CD59F9"/>
    <w:rsid w:val="00CE0E21"/>
    <w:rsid w:val="00D12202"/>
    <w:rsid w:val="00D21668"/>
    <w:rsid w:val="00D3372E"/>
    <w:rsid w:val="00D4240F"/>
    <w:rsid w:val="00D47CCC"/>
    <w:rsid w:val="00D51C06"/>
    <w:rsid w:val="00D53B36"/>
    <w:rsid w:val="00D543F8"/>
    <w:rsid w:val="00D607A5"/>
    <w:rsid w:val="00D74894"/>
    <w:rsid w:val="00D76C97"/>
    <w:rsid w:val="00D87458"/>
    <w:rsid w:val="00D87DE8"/>
    <w:rsid w:val="00D90F93"/>
    <w:rsid w:val="00D9675B"/>
    <w:rsid w:val="00D96E04"/>
    <w:rsid w:val="00DB75B6"/>
    <w:rsid w:val="00DD4226"/>
    <w:rsid w:val="00DD694F"/>
    <w:rsid w:val="00DE4180"/>
    <w:rsid w:val="00DE496B"/>
    <w:rsid w:val="00DE5DFC"/>
    <w:rsid w:val="00DF1FF5"/>
    <w:rsid w:val="00E146A0"/>
    <w:rsid w:val="00E24C78"/>
    <w:rsid w:val="00E305C3"/>
    <w:rsid w:val="00E4675B"/>
    <w:rsid w:val="00E55601"/>
    <w:rsid w:val="00E75AF8"/>
    <w:rsid w:val="00E83FD6"/>
    <w:rsid w:val="00E90615"/>
    <w:rsid w:val="00EA6E6F"/>
    <w:rsid w:val="00EB6EA1"/>
    <w:rsid w:val="00EC5D7F"/>
    <w:rsid w:val="00ED6EF3"/>
    <w:rsid w:val="00EF1F5B"/>
    <w:rsid w:val="00F12BCD"/>
    <w:rsid w:val="00F13C44"/>
    <w:rsid w:val="00F325A0"/>
    <w:rsid w:val="00F377E9"/>
    <w:rsid w:val="00F4424A"/>
    <w:rsid w:val="00F47437"/>
    <w:rsid w:val="00F51371"/>
    <w:rsid w:val="00F70F27"/>
    <w:rsid w:val="00F8707C"/>
    <w:rsid w:val="00FA258B"/>
    <w:rsid w:val="00FB0DB4"/>
    <w:rsid w:val="00FB3666"/>
    <w:rsid w:val="00FC2200"/>
    <w:rsid w:val="00FC7BC7"/>
    <w:rsid w:val="00FD6FBF"/>
    <w:rsid w:val="00FF02A6"/>
    <w:rsid w:val="0110303C"/>
    <w:rsid w:val="0477EAD1"/>
    <w:rsid w:val="07596326"/>
    <w:rsid w:val="0794D2DF"/>
    <w:rsid w:val="08CEC4EC"/>
    <w:rsid w:val="0B8735DE"/>
    <w:rsid w:val="0E0AEAAB"/>
    <w:rsid w:val="0E8B5995"/>
    <w:rsid w:val="0EF229E6"/>
    <w:rsid w:val="0F211A7D"/>
    <w:rsid w:val="0F5EC86A"/>
    <w:rsid w:val="1455E0D7"/>
    <w:rsid w:val="17F324A8"/>
    <w:rsid w:val="19152C46"/>
    <w:rsid w:val="1C00602F"/>
    <w:rsid w:val="1D35F5D5"/>
    <w:rsid w:val="20087AF5"/>
    <w:rsid w:val="2182D18C"/>
    <w:rsid w:val="277520D3"/>
    <w:rsid w:val="2B790878"/>
    <w:rsid w:val="2D6A1B87"/>
    <w:rsid w:val="31FEA8AC"/>
    <w:rsid w:val="34D2CE80"/>
    <w:rsid w:val="369EDDA8"/>
    <w:rsid w:val="385ED3B6"/>
    <w:rsid w:val="3AA4E648"/>
    <w:rsid w:val="3ACF498B"/>
    <w:rsid w:val="3B1245DC"/>
    <w:rsid w:val="3BED5C37"/>
    <w:rsid w:val="3EDCFECF"/>
    <w:rsid w:val="402BF5FA"/>
    <w:rsid w:val="416DE3AB"/>
    <w:rsid w:val="432C8CED"/>
    <w:rsid w:val="43838DFB"/>
    <w:rsid w:val="43E9C4EE"/>
    <w:rsid w:val="4AD3FFC5"/>
    <w:rsid w:val="4B0184C7"/>
    <w:rsid w:val="4D18D537"/>
    <w:rsid w:val="4DAD368A"/>
    <w:rsid w:val="4F2C2FAC"/>
    <w:rsid w:val="51DE13A5"/>
    <w:rsid w:val="56829DA0"/>
    <w:rsid w:val="59CB7E0D"/>
    <w:rsid w:val="5D03A5B3"/>
    <w:rsid w:val="5D7A4C44"/>
    <w:rsid w:val="5DC40E42"/>
    <w:rsid w:val="636561D8"/>
    <w:rsid w:val="645B6F44"/>
    <w:rsid w:val="675B6A8D"/>
    <w:rsid w:val="69ECAFA7"/>
    <w:rsid w:val="707C4F71"/>
    <w:rsid w:val="71BFB51A"/>
    <w:rsid w:val="727A9019"/>
    <w:rsid w:val="741F2931"/>
    <w:rsid w:val="742003CD"/>
    <w:rsid w:val="7BA52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E3AB"/>
  <w15:docId w15:val="{89700F38-71D6-3C43-A9BD-895094B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rPr>
  </w:style>
  <w:style w:type="paragraph" w:styleId="Heading1">
    <w:name w:val="heading 1"/>
    <w:basedOn w:val="Normal"/>
    <w:link w:val="Heading1Char"/>
    <w:uiPriority w:val="9"/>
    <w:qFormat/>
    <w:rsid w:val="005D79D9"/>
    <w:pPr>
      <w:spacing w:before="100" w:beforeAutospacing="1" w:after="100" w:afterAutospacing="1" w:line="240" w:lineRule="auto"/>
      <w:ind w:left="0" w:firstLine="0"/>
      <w:outlineLvl w:val="0"/>
    </w:pPr>
    <w:rPr>
      <w:b/>
      <w:bCs/>
      <w:color w:val="auto"/>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113"/>
    <w:rPr>
      <w:rFonts w:ascii="Times New Roman" w:eastAsia="Times New Roman" w:hAnsi="Times New Roman" w:cs="Times New Roman"/>
      <w:color w:val="000000"/>
    </w:rPr>
  </w:style>
  <w:style w:type="paragraph" w:styleId="Footer">
    <w:name w:val="footer"/>
    <w:basedOn w:val="Normal"/>
    <w:link w:val="FooterChar"/>
    <w:uiPriority w:val="99"/>
    <w:unhideWhenUsed/>
    <w:rsid w:val="002F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113"/>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2F1113"/>
    <w:rPr>
      <w:color w:val="666666"/>
    </w:rPr>
  </w:style>
  <w:style w:type="table" w:styleId="TableGrid">
    <w:name w:val="Table Grid"/>
    <w:basedOn w:val="TableNormal"/>
    <w:uiPriority w:val="59"/>
    <w:rsid w:val="00664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113DD"/>
    <w:pPr>
      <w:spacing w:before="100" w:beforeAutospacing="1" w:after="100" w:afterAutospacing="1" w:line="240" w:lineRule="auto"/>
      <w:ind w:left="0" w:firstLine="0"/>
    </w:pPr>
    <w:rPr>
      <w:color w:val="auto"/>
      <w:kern w:val="0"/>
      <w14:ligatures w14:val="none"/>
    </w:rPr>
  </w:style>
  <w:style w:type="character" w:customStyle="1" w:styleId="Heading1Char">
    <w:name w:val="Heading 1 Char"/>
    <w:basedOn w:val="DefaultParagraphFont"/>
    <w:link w:val="Heading1"/>
    <w:uiPriority w:val="9"/>
    <w:rsid w:val="005D79D9"/>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E46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4713">
      <w:bodyDiv w:val="1"/>
      <w:marLeft w:val="0"/>
      <w:marRight w:val="0"/>
      <w:marTop w:val="0"/>
      <w:marBottom w:val="0"/>
      <w:divBdr>
        <w:top w:val="none" w:sz="0" w:space="0" w:color="auto"/>
        <w:left w:val="none" w:sz="0" w:space="0" w:color="auto"/>
        <w:bottom w:val="none" w:sz="0" w:space="0" w:color="auto"/>
        <w:right w:val="none" w:sz="0" w:space="0" w:color="auto"/>
      </w:divBdr>
    </w:div>
    <w:div w:id="381250414">
      <w:bodyDiv w:val="1"/>
      <w:marLeft w:val="0"/>
      <w:marRight w:val="0"/>
      <w:marTop w:val="0"/>
      <w:marBottom w:val="0"/>
      <w:divBdr>
        <w:top w:val="none" w:sz="0" w:space="0" w:color="auto"/>
        <w:left w:val="none" w:sz="0" w:space="0" w:color="auto"/>
        <w:bottom w:val="none" w:sz="0" w:space="0" w:color="auto"/>
        <w:right w:val="none" w:sz="0" w:space="0" w:color="auto"/>
      </w:divBdr>
    </w:div>
    <w:div w:id="754742301">
      <w:bodyDiv w:val="1"/>
      <w:marLeft w:val="0"/>
      <w:marRight w:val="0"/>
      <w:marTop w:val="0"/>
      <w:marBottom w:val="0"/>
      <w:divBdr>
        <w:top w:val="none" w:sz="0" w:space="0" w:color="auto"/>
        <w:left w:val="none" w:sz="0" w:space="0" w:color="auto"/>
        <w:bottom w:val="none" w:sz="0" w:space="0" w:color="auto"/>
        <w:right w:val="none" w:sz="0" w:space="0" w:color="auto"/>
      </w:divBdr>
    </w:div>
    <w:div w:id="858810793">
      <w:bodyDiv w:val="1"/>
      <w:marLeft w:val="0"/>
      <w:marRight w:val="0"/>
      <w:marTop w:val="0"/>
      <w:marBottom w:val="0"/>
      <w:divBdr>
        <w:top w:val="none" w:sz="0" w:space="0" w:color="auto"/>
        <w:left w:val="none" w:sz="0" w:space="0" w:color="auto"/>
        <w:bottom w:val="none" w:sz="0" w:space="0" w:color="auto"/>
        <w:right w:val="none" w:sz="0" w:space="0" w:color="auto"/>
      </w:divBdr>
    </w:div>
    <w:div w:id="1023282427">
      <w:bodyDiv w:val="1"/>
      <w:marLeft w:val="0"/>
      <w:marRight w:val="0"/>
      <w:marTop w:val="0"/>
      <w:marBottom w:val="0"/>
      <w:divBdr>
        <w:top w:val="none" w:sz="0" w:space="0" w:color="auto"/>
        <w:left w:val="none" w:sz="0" w:space="0" w:color="auto"/>
        <w:bottom w:val="none" w:sz="0" w:space="0" w:color="auto"/>
        <w:right w:val="none" w:sz="0" w:space="0" w:color="auto"/>
      </w:divBdr>
    </w:div>
    <w:div w:id="1114402480">
      <w:bodyDiv w:val="1"/>
      <w:marLeft w:val="0"/>
      <w:marRight w:val="0"/>
      <w:marTop w:val="0"/>
      <w:marBottom w:val="0"/>
      <w:divBdr>
        <w:top w:val="none" w:sz="0" w:space="0" w:color="auto"/>
        <w:left w:val="none" w:sz="0" w:space="0" w:color="auto"/>
        <w:bottom w:val="none" w:sz="0" w:space="0" w:color="auto"/>
        <w:right w:val="none" w:sz="0" w:space="0" w:color="auto"/>
      </w:divBdr>
      <w:divsChild>
        <w:div w:id="1987708717">
          <w:marLeft w:val="-58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049C-73D5-46C8-B85F-FE30A3AA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5220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Petition to Institutional Review Board</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Institutional Review Board</dc:title>
  <dc:subject/>
  <dc:creator>CRAFT,ELAINE</dc:creator>
  <cp:keywords/>
  <cp:lastModifiedBy>Pamela Silvers</cp:lastModifiedBy>
  <cp:revision>2</cp:revision>
  <dcterms:created xsi:type="dcterms:W3CDTF">2025-06-12T14:47:00Z</dcterms:created>
  <dcterms:modified xsi:type="dcterms:W3CDTF">2025-06-12T14:47:00Z</dcterms:modified>
</cp:coreProperties>
</file>